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26FC" w:rsidRDefault="004526FC"/>
    <w:p w:rsidR="004526FC" w:rsidRDefault="004526FC"/>
    <w:p w:rsidR="004526FC" w:rsidRDefault="004526FC"/>
    <w:p w:rsidR="004526FC" w:rsidRDefault="004526FC">
      <w:r>
        <w:rPr>
          <w:noProof/>
          <w:lang w:eastAsia="en-GB"/>
        </w:rPr>
        <w:drawing>
          <wp:anchor distT="0" distB="0" distL="114300" distR="114300" simplePos="0" relativeHeight="251658240" behindDoc="0" locked="0" layoutInCell="1" allowOverlap="1">
            <wp:simplePos x="914400" y="1885950"/>
            <wp:positionH relativeFrom="margin">
              <wp:align>center</wp:align>
            </wp:positionH>
            <wp:positionV relativeFrom="margin">
              <wp:align>top</wp:align>
            </wp:positionV>
            <wp:extent cx="1968500" cy="1458148"/>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ID TUSU.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68500" cy="1458148"/>
                    </a:xfrm>
                    <a:prstGeom prst="rect">
                      <a:avLst/>
                    </a:prstGeom>
                  </pic:spPr>
                </pic:pic>
              </a:graphicData>
            </a:graphic>
          </wp:anchor>
        </w:drawing>
      </w:r>
    </w:p>
    <w:p w:rsidR="004526FC" w:rsidRDefault="004526FC"/>
    <w:p w:rsidR="004526FC" w:rsidRDefault="004526FC"/>
    <w:p w:rsidR="004526FC" w:rsidRDefault="0095481C" w:rsidP="00E7294C">
      <w:pPr>
        <w:jc w:val="center"/>
        <w:rPr>
          <w:sz w:val="28"/>
          <w:szCs w:val="28"/>
        </w:rPr>
      </w:pPr>
      <w:r>
        <w:rPr>
          <w:sz w:val="28"/>
          <w:szCs w:val="28"/>
        </w:rPr>
        <w:t>TUSU Landlord Accreditation s</w:t>
      </w:r>
      <w:r w:rsidR="004526FC" w:rsidRPr="004526FC">
        <w:rPr>
          <w:sz w:val="28"/>
          <w:szCs w:val="28"/>
        </w:rPr>
        <w:t>cheme – Landlord Information</w:t>
      </w:r>
    </w:p>
    <w:p w:rsidR="00E60827" w:rsidRDefault="00E60827" w:rsidP="00E7294C">
      <w:pPr>
        <w:jc w:val="center"/>
        <w:rPr>
          <w:sz w:val="28"/>
          <w:szCs w:val="28"/>
        </w:rPr>
      </w:pPr>
    </w:p>
    <w:p w:rsidR="00E7294C" w:rsidRPr="00E60827" w:rsidRDefault="00E60827" w:rsidP="00752C34">
      <w:pPr>
        <w:rPr>
          <w:i/>
          <w:sz w:val="28"/>
          <w:szCs w:val="28"/>
        </w:rPr>
      </w:pPr>
      <w:r w:rsidRPr="00E60827">
        <w:rPr>
          <w:i/>
          <w:sz w:val="28"/>
          <w:szCs w:val="28"/>
        </w:rPr>
        <w:t xml:space="preserve">SECTION 1 </w:t>
      </w:r>
      <w:r w:rsidR="0095481C">
        <w:rPr>
          <w:i/>
          <w:sz w:val="28"/>
          <w:szCs w:val="28"/>
        </w:rPr>
        <w:t>– Introduction and aims of the s</w:t>
      </w:r>
      <w:r w:rsidRPr="00E60827">
        <w:rPr>
          <w:i/>
          <w:sz w:val="28"/>
          <w:szCs w:val="28"/>
        </w:rPr>
        <w:t>cheme</w:t>
      </w:r>
    </w:p>
    <w:p w:rsidR="00237C96" w:rsidRDefault="00237C96" w:rsidP="00752C34">
      <w:r>
        <w:t>The TUSU Landlord Accreditation Scheme</w:t>
      </w:r>
      <w:r w:rsidR="00E60827">
        <w:t xml:space="preserve"> </w:t>
      </w:r>
      <w:r>
        <w:t>is focused on ensuring that students have access to the best possible range of private accommodation.</w:t>
      </w:r>
    </w:p>
    <w:p w:rsidR="00237C96" w:rsidRDefault="00E60827" w:rsidP="00752C34">
      <w:r>
        <w:t xml:space="preserve">We will maintain </w:t>
      </w:r>
      <w:r w:rsidR="00237C96">
        <w:t>a list of</w:t>
      </w:r>
      <w:r>
        <w:t xml:space="preserve"> recommended</w:t>
      </w:r>
      <w:r w:rsidR="00237C96">
        <w:t xml:space="preserve"> landlords </w:t>
      </w:r>
      <w:r>
        <w:t xml:space="preserve">and </w:t>
      </w:r>
      <w:r w:rsidR="009C5AF6">
        <w:t xml:space="preserve">letting agents and </w:t>
      </w:r>
      <w:r>
        <w:t xml:space="preserve">these </w:t>
      </w:r>
      <w:r w:rsidR="00237C96">
        <w:t>are asked to adhere to minimum standards and regulations.</w:t>
      </w:r>
    </w:p>
    <w:p w:rsidR="00E60827" w:rsidRDefault="00E60827" w:rsidP="00752C34">
      <w:r>
        <w:t>Aims of the scheme are to:</w:t>
      </w:r>
    </w:p>
    <w:p w:rsidR="00E60827" w:rsidRDefault="00E60827" w:rsidP="00752C34">
      <w:pPr>
        <w:pStyle w:val="ListParagraph"/>
        <w:numPr>
          <w:ilvl w:val="0"/>
          <w:numId w:val="2"/>
        </w:numPr>
      </w:pPr>
      <w:r>
        <w:t>Work in partnership with private accommodation providers</w:t>
      </w:r>
    </w:p>
    <w:p w:rsidR="00E60827" w:rsidRDefault="00C467FB" w:rsidP="00752C34">
      <w:pPr>
        <w:pStyle w:val="ListParagraph"/>
        <w:numPr>
          <w:ilvl w:val="0"/>
          <w:numId w:val="2"/>
        </w:numPr>
      </w:pPr>
      <w:r>
        <w:t>Encourage</w:t>
      </w:r>
      <w:r w:rsidR="00E60827">
        <w:t xml:space="preserve">, acknowledge, raise awareness of and actively promote good standards and management </w:t>
      </w:r>
      <w:r>
        <w:t>practices in student accommodation</w:t>
      </w:r>
    </w:p>
    <w:p w:rsidR="00C467FB" w:rsidRDefault="00C467FB" w:rsidP="00752C34">
      <w:pPr>
        <w:pStyle w:val="ListParagraph"/>
        <w:numPr>
          <w:ilvl w:val="0"/>
          <w:numId w:val="2"/>
        </w:numPr>
      </w:pPr>
      <w:r>
        <w:t>Support landlords to increase the amount of good quality student accommodation in the area</w:t>
      </w:r>
    </w:p>
    <w:p w:rsidR="00C467FB" w:rsidRDefault="00C467FB" w:rsidP="00752C34">
      <w:pPr>
        <w:pStyle w:val="ListParagraph"/>
        <w:numPr>
          <w:ilvl w:val="0"/>
          <w:numId w:val="2"/>
        </w:numPr>
      </w:pPr>
      <w:r>
        <w:t>Enable students to obtain information about, and have access to, the best possible accommodation</w:t>
      </w:r>
    </w:p>
    <w:p w:rsidR="00237C96" w:rsidRPr="00237C96" w:rsidRDefault="00E7294C" w:rsidP="00752C34">
      <w:r>
        <w:t>What’s in it for you?</w:t>
      </w:r>
    </w:p>
    <w:p w:rsidR="00E876B3" w:rsidRDefault="00E876B3" w:rsidP="00752C34">
      <w:pPr>
        <w:pStyle w:val="ListParagraph"/>
        <w:numPr>
          <w:ilvl w:val="0"/>
          <w:numId w:val="1"/>
        </w:numPr>
      </w:pPr>
      <w:r>
        <w:t xml:space="preserve">Teesside University Students' Union (TUSU) maintains a list of </w:t>
      </w:r>
      <w:r w:rsidRPr="00E876B3">
        <w:t xml:space="preserve">landlords </w:t>
      </w:r>
      <w:r>
        <w:t>and letting agents which we would recommend to students. This opens up access to a wide range of exclusive and unrivalled advertising and sponsorship opportunities with TUSU. Our packages are designed to suit a range of budgets and includes digital/ web advertising, event sponsorship, exhibition space in the SU Building and the opportunity to sponsor some of our highest profile clubs and societies. View the 201</w:t>
      </w:r>
      <w:r w:rsidR="009C5AF6">
        <w:t>8/19</w:t>
      </w:r>
      <w:r>
        <w:t xml:space="preserve"> landlords and letting agents rate card at </w:t>
      </w:r>
      <w:hyperlink r:id="rId9" w:history="1">
        <w:r w:rsidRPr="00391AF7">
          <w:rPr>
            <w:rStyle w:val="Hyperlink"/>
          </w:rPr>
          <w:t>tees-su.org.uk/advertise</w:t>
        </w:r>
      </w:hyperlink>
      <w:r>
        <w:t xml:space="preserve"> (opportunities wo</w:t>
      </w:r>
      <w:r w:rsidR="00587AB4">
        <w:t>uld commence from September 2019</w:t>
      </w:r>
      <w:r>
        <w:t xml:space="preserve"> onwards) or ask a member of SU Student Support (SUSS) staff to supply it once you have completed the accreditation process and have their approval.</w:t>
      </w:r>
    </w:p>
    <w:p w:rsidR="00E7294C" w:rsidRDefault="00E7294C" w:rsidP="00752C34">
      <w:pPr>
        <w:pStyle w:val="ListParagraph"/>
        <w:numPr>
          <w:ilvl w:val="0"/>
          <w:numId w:val="1"/>
        </w:numPr>
      </w:pPr>
      <w:r>
        <w:t>It also gives you support in m</w:t>
      </w:r>
      <w:r w:rsidR="00391AF7">
        <w:t xml:space="preserve">anaging any issues that arise </w:t>
      </w:r>
      <w:r w:rsidR="00237C96">
        <w:t>when students approach us with any is</w:t>
      </w:r>
      <w:r w:rsidR="00391AF7">
        <w:t xml:space="preserve">sues or concerns; </w:t>
      </w:r>
      <w:r w:rsidR="00237C96">
        <w:t>SU Student Support (SUSS) staff will work with you, advising both parties on their commitments as agreed in the tenancy agreement and possible remedies.</w:t>
      </w:r>
    </w:p>
    <w:p w:rsidR="00237C96" w:rsidRDefault="00237C96" w:rsidP="00752C34"/>
    <w:p w:rsidR="0067648C" w:rsidRPr="00E876B3" w:rsidRDefault="003A4299" w:rsidP="00E876B3">
      <w:r>
        <w:br w:type="page"/>
      </w:r>
      <w:r w:rsidR="0067648C" w:rsidRPr="0067648C">
        <w:rPr>
          <w:i/>
          <w:sz w:val="28"/>
          <w:szCs w:val="28"/>
        </w:rPr>
        <w:lastRenderedPageBreak/>
        <w:t>SECTION 2 – The Standard</w:t>
      </w:r>
    </w:p>
    <w:p w:rsidR="000147E4" w:rsidRDefault="000147E4" w:rsidP="00752C34">
      <w:r>
        <w:t>Landlords must provide t</w:t>
      </w:r>
      <w:r w:rsidR="002C4969">
        <w:t>heir tenan</w:t>
      </w:r>
      <w:r w:rsidR="0045091A">
        <w:t>ts with the following:</w:t>
      </w:r>
    </w:p>
    <w:p w:rsidR="00285FA2" w:rsidRDefault="00E219DA" w:rsidP="00285FA2">
      <w:pPr>
        <w:pStyle w:val="ListParagraph"/>
        <w:numPr>
          <w:ilvl w:val="0"/>
          <w:numId w:val="11"/>
        </w:numPr>
      </w:pPr>
      <w:r>
        <w:t>Tenants must be provided with a clear written tenancy agreement and written inventory at the start of a new tenancy. Model forms are available from</w:t>
      </w:r>
    </w:p>
    <w:p w:rsidR="00E219DA" w:rsidRDefault="00CA7022" w:rsidP="00285FA2">
      <w:pPr>
        <w:pStyle w:val="ListParagraph"/>
      </w:pPr>
      <w:proofErr w:type="gramStart"/>
      <w:r>
        <w:t>j</w:t>
      </w:r>
      <w:proofErr w:type="gramEnd"/>
      <w:r w:rsidR="00E219DA">
        <w:fldChar w:fldCharType="begin"/>
      </w:r>
      <w:r w:rsidR="00E219DA">
        <w:instrText xml:space="preserve"> HYPERLINK "https://www.gov.uk/government/publications/model-agreement-for-a-shorthold-assured-tenancy" </w:instrText>
      </w:r>
      <w:r w:rsidR="00E219DA">
        <w:fldChar w:fldCharType="separate"/>
      </w:r>
      <w:r w:rsidR="00E219DA" w:rsidRPr="00F509AC">
        <w:rPr>
          <w:rStyle w:val="Hyperlink"/>
        </w:rPr>
        <w:t>https://www.gov.uk/government/publications/model-agreement-for-a-shorthold-assured-tenancy</w:t>
      </w:r>
      <w:r w:rsidR="00E219DA">
        <w:rPr>
          <w:rStyle w:val="Hyperlink"/>
        </w:rPr>
        <w:fldChar w:fldCharType="end"/>
      </w:r>
    </w:p>
    <w:p w:rsidR="000147E4" w:rsidRDefault="000147E4" w:rsidP="00752C34">
      <w:pPr>
        <w:pStyle w:val="ListParagraph"/>
        <w:numPr>
          <w:ilvl w:val="0"/>
          <w:numId w:val="7"/>
        </w:numPr>
      </w:pPr>
      <w:r>
        <w:t xml:space="preserve">A copy of ‘How to </w:t>
      </w:r>
      <w:proofErr w:type="gramStart"/>
      <w:r>
        <w:t>Rent</w:t>
      </w:r>
      <w:proofErr w:type="gramEnd"/>
      <w:r>
        <w:t>’ which is a checklist for renting in England.</w:t>
      </w:r>
    </w:p>
    <w:p w:rsidR="00587AB4" w:rsidRDefault="00AB7DE0" w:rsidP="00587AB4">
      <w:pPr>
        <w:pStyle w:val="ListParagraph"/>
      </w:pPr>
      <w:hyperlink r:id="rId10" w:history="1">
        <w:r w:rsidR="00587AB4" w:rsidRPr="005353DC">
          <w:rPr>
            <w:rStyle w:val="Hyperlink"/>
          </w:rPr>
          <w:t>https://assets.publishing.service.gov.uk/government/uploads/system/uploads/attachment_data/file/723773/How_to_Rent_Jul18.pdf</w:t>
        </w:r>
      </w:hyperlink>
    </w:p>
    <w:p w:rsidR="000147E4" w:rsidRDefault="000147E4" w:rsidP="00752C34">
      <w:pPr>
        <w:pStyle w:val="ListParagraph"/>
        <w:numPr>
          <w:ilvl w:val="0"/>
          <w:numId w:val="7"/>
        </w:numPr>
      </w:pPr>
      <w:r>
        <w:t xml:space="preserve">A Gas Safety Certificate. </w:t>
      </w:r>
      <w:r w:rsidR="00587AB4">
        <w:t xml:space="preserve">It is a legal requirement to </w:t>
      </w:r>
      <w:r>
        <w:t>provide one on an annual basis if there is a gas installation</w:t>
      </w:r>
      <w:r w:rsidR="002C4969">
        <w:t>.</w:t>
      </w:r>
    </w:p>
    <w:p w:rsidR="000147E4" w:rsidRDefault="00AB7DE0" w:rsidP="00752C34">
      <w:pPr>
        <w:pStyle w:val="ListParagraph"/>
      </w:pPr>
      <w:hyperlink r:id="rId11" w:history="1">
        <w:r w:rsidR="000147E4" w:rsidRPr="00F509AC">
          <w:rPr>
            <w:rStyle w:val="Hyperlink"/>
          </w:rPr>
          <w:t>https://www.gassaferegister.co.uk/</w:t>
        </w:r>
      </w:hyperlink>
    </w:p>
    <w:p w:rsidR="000147E4" w:rsidRDefault="00E219DA" w:rsidP="00752C34">
      <w:pPr>
        <w:pStyle w:val="ListParagraph"/>
        <w:numPr>
          <w:ilvl w:val="0"/>
          <w:numId w:val="3"/>
        </w:numPr>
      </w:pPr>
      <w:r>
        <w:t>If a deposit is required you must comply with the tenancy deposit provisions.</w:t>
      </w:r>
    </w:p>
    <w:p w:rsidR="000147E4" w:rsidRDefault="00AB7DE0" w:rsidP="00752C34">
      <w:pPr>
        <w:pStyle w:val="ListParagraph"/>
      </w:pPr>
      <w:hyperlink r:id="rId12" w:history="1">
        <w:r w:rsidR="000147E4" w:rsidRPr="00F509AC">
          <w:rPr>
            <w:rStyle w:val="Hyperlink"/>
          </w:rPr>
          <w:t>https://www.gov.uk/tenancy-deposit-protection/overview</w:t>
        </w:r>
      </w:hyperlink>
    </w:p>
    <w:p w:rsidR="000147E4" w:rsidRDefault="00EE58C2" w:rsidP="00752C34">
      <w:pPr>
        <w:pStyle w:val="ListParagraph"/>
        <w:numPr>
          <w:ilvl w:val="0"/>
          <w:numId w:val="7"/>
        </w:numPr>
      </w:pPr>
      <w:r>
        <w:t>An</w:t>
      </w:r>
      <w:r w:rsidR="00B709CD">
        <w:t xml:space="preserve"> energy performance certificate</w:t>
      </w:r>
      <w:r w:rsidR="002C4969">
        <w:t>.</w:t>
      </w:r>
    </w:p>
    <w:p w:rsidR="00EE58C2" w:rsidRDefault="00AB7DE0" w:rsidP="00752C34">
      <w:pPr>
        <w:pStyle w:val="ListParagraph"/>
      </w:pPr>
      <w:hyperlink r:id="rId13" w:history="1">
        <w:r w:rsidR="00EE58C2" w:rsidRPr="00F509AC">
          <w:rPr>
            <w:rStyle w:val="Hyperlink"/>
          </w:rPr>
          <w:t>https://www.gov.uk/buy-sell-your-home/energy-performance-certificates</w:t>
        </w:r>
      </w:hyperlink>
      <w:r w:rsidR="00EE58C2">
        <w:tab/>
      </w:r>
    </w:p>
    <w:p w:rsidR="00EE58C2" w:rsidRDefault="00EE58C2" w:rsidP="00752C34">
      <w:pPr>
        <w:pStyle w:val="ListParagraph"/>
        <w:numPr>
          <w:ilvl w:val="0"/>
          <w:numId w:val="7"/>
        </w:numPr>
      </w:pPr>
      <w:r>
        <w:t>Electrical Safety Report. This is a requirement for landlords</w:t>
      </w:r>
      <w:r w:rsidR="00587AB4">
        <w:t xml:space="preserve"> wishing to join our </w:t>
      </w:r>
      <w:proofErr w:type="gramStart"/>
      <w:r w:rsidR="00587AB4">
        <w:t xml:space="preserve">scheme </w:t>
      </w:r>
      <w:r>
        <w:t xml:space="preserve"> and</w:t>
      </w:r>
      <w:proofErr w:type="gramEnd"/>
      <w:r>
        <w:t xml:space="preserve"> work must be carried out by an electrician registered with a government </w:t>
      </w:r>
      <w:r w:rsidR="00B709CD">
        <w:t>approved body</w:t>
      </w:r>
      <w:r w:rsidR="002C4969">
        <w:t>.</w:t>
      </w:r>
    </w:p>
    <w:p w:rsidR="0045091A" w:rsidRDefault="00AB7DE0" w:rsidP="00752C34">
      <w:pPr>
        <w:pStyle w:val="ListParagraph"/>
        <w:rPr>
          <w:rStyle w:val="Hyperlink"/>
        </w:rPr>
      </w:pPr>
      <w:hyperlink r:id="rId14" w:history="1">
        <w:r w:rsidR="00EE58C2" w:rsidRPr="00F509AC">
          <w:rPr>
            <w:rStyle w:val="Hyperlink"/>
          </w:rPr>
          <w:t>http://www.niceic.com/</w:t>
        </w:r>
      </w:hyperlink>
    </w:p>
    <w:p w:rsidR="00644D89" w:rsidRDefault="00644D89" w:rsidP="00644D89">
      <w:pPr>
        <w:pStyle w:val="ListParagraph"/>
        <w:numPr>
          <w:ilvl w:val="0"/>
          <w:numId w:val="7"/>
        </w:numPr>
      </w:pPr>
      <w:r>
        <w:t>A copy of the HMO license if applicable. For guidelines on what type of property is classed as HMO see the below link</w:t>
      </w:r>
    </w:p>
    <w:p w:rsidR="00644D89" w:rsidRDefault="00AB7DE0" w:rsidP="00644D89">
      <w:pPr>
        <w:pStyle w:val="ListParagraph"/>
      </w:pPr>
      <w:hyperlink r:id="rId15" w:history="1">
        <w:r w:rsidR="00FD160C" w:rsidRPr="005353DC">
          <w:rPr>
            <w:rStyle w:val="Hyperlink"/>
          </w:rPr>
          <w:t>https://www.middlesbrough.gov.uk/planning-and-housing/housing-options-and-advice/houses-multiple-occupation-hmos</w:t>
        </w:r>
      </w:hyperlink>
    </w:p>
    <w:p w:rsidR="00A172FF" w:rsidRPr="00A172FF" w:rsidRDefault="002C4969" w:rsidP="00752C34">
      <w:pPr>
        <w:rPr>
          <w:i/>
        </w:rPr>
      </w:pPr>
      <w:r w:rsidRPr="00A172FF">
        <w:rPr>
          <w:i/>
        </w:rPr>
        <w:t>You will sign a document to confirm that you provide all tenants with the above information and we will ask to see a random sample. Any breach could lead to removal from the scheme.</w:t>
      </w:r>
    </w:p>
    <w:p w:rsidR="004B6B81" w:rsidRDefault="004B6B81" w:rsidP="00752C34">
      <w:r>
        <w:t xml:space="preserve">Landlords must </w:t>
      </w:r>
      <w:r w:rsidR="0045091A">
        <w:t xml:space="preserve">also </w:t>
      </w:r>
      <w:r>
        <w:t xml:space="preserve">ensure that their properties provide a safe and healthy environment for any potential occupier or visitor. </w:t>
      </w:r>
    </w:p>
    <w:p w:rsidR="004B6B81" w:rsidRDefault="00E10D18" w:rsidP="00752C34">
      <w:pPr>
        <w:pStyle w:val="ListParagraph"/>
        <w:numPr>
          <w:ilvl w:val="0"/>
          <w:numId w:val="6"/>
        </w:numPr>
      </w:pPr>
      <w:r>
        <w:t>Heating</w:t>
      </w:r>
    </w:p>
    <w:p w:rsidR="00C12502" w:rsidRPr="00C12502" w:rsidRDefault="00E10D18" w:rsidP="00391AF7">
      <w:pPr>
        <w:pStyle w:val="ListParagraph"/>
        <w:numPr>
          <w:ilvl w:val="1"/>
          <w:numId w:val="6"/>
        </w:numPr>
        <w:rPr>
          <w:i/>
        </w:rPr>
      </w:pPr>
      <w:r w:rsidRPr="00A172FF">
        <w:rPr>
          <w:i/>
        </w:rPr>
        <w:t>The property should have central heating wi</w:t>
      </w:r>
      <w:r w:rsidR="0095481C">
        <w:rPr>
          <w:i/>
        </w:rPr>
        <w:t>th instructions on the boiler and</w:t>
      </w:r>
      <w:r w:rsidRPr="00A172FF">
        <w:rPr>
          <w:i/>
        </w:rPr>
        <w:t xml:space="preserve"> details of who to contact if there is a problem with the heating.</w:t>
      </w:r>
    </w:p>
    <w:p w:rsidR="00C66BCB" w:rsidRDefault="00E10D18" w:rsidP="00752C34">
      <w:pPr>
        <w:pStyle w:val="ListParagraph"/>
        <w:numPr>
          <w:ilvl w:val="0"/>
          <w:numId w:val="3"/>
        </w:numPr>
      </w:pPr>
      <w:r>
        <w:t>Security</w:t>
      </w:r>
    </w:p>
    <w:p w:rsidR="00391AF7" w:rsidRDefault="00E10D18" w:rsidP="00391AF7">
      <w:pPr>
        <w:pStyle w:val="ListParagraph"/>
        <w:numPr>
          <w:ilvl w:val="1"/>
          <w:numId w:val="3"/>
        </w:numPr>
        <w:rPr>
          <w:i/>
        </w:rPr>
      </w:pPr>
      <w:r w:rsidRPr="00A172FF">
        <w:rPr>
          <w:i/>
        </w:rPr>
        <w:t>As a Landlord, you are responsible for maintaining all of the safety aspects of the accommodation. The property must have secure locks on all external doors and all windows must open and shut securely.</w:t>
      </w:r>
    </w:p>
    <w:p w:rsidR="005A1D06" w:rsidRPr="00391AF7" w:rsidRDefault="00E10D18" w:rsidP="00391AF7">
      <w:pPr>
        <w:pStyle w:val="ListParagraph"/>
        <w:numPr>
          <w:ilvl w:val="1"/>
          <w:numId w:val="3"/>
        </w:numPr>
        <w:rPr>
          <w:i/>
        </w:rPr>
      </w:pPr>
      <w:r w:rsidRPr="00391AF7">
        <w:rPr>
          <w:i/>
        </w:rPr>
        <w:t xml:space="preserve">An </w:t>
      </w:r>
      <w:r w:rsidR="0095481C" w:rsidRPr="00391AF7">
        <w:rPr>
          <w:i/>
        </w:rPr>
        <w:t>alarm system</w:t>
      </w:r>
      <w:r w:rsidR="00644D89">
        <w:rPr>
          <w:i/>
        </w:rPr>
        <w:t xml:space="preserve"> is recommended</w:t>
      </w:r>
      <w:r w:rsidRPr="00391AF7">
        <w:rPr>
          <w:i/>
        </w:rPr>
        <w:t>.</w:t>
      </w:r>
    </w:p>
    <w:p w:rsidR="005A1D06" w:rsidRDefault="005A1D06" w:rsidP="00752C34">
      <w:pPr>
        <w:pStyle w:val="ListParagraph"/>
        <w:numPr>
          <w:ilvl w:val="0"/>
          <w:numId w:val="3"/>
        </w:numPr>
      </w:pPr>
      <w:r>
        <w:t>Fire Safety</w:t>
      </w:r>
    </w:p>
    <w:p w:rsidR="005A1D06" w:rsidRPr="00A172FF" w:rsidRDefault="005A1D06" w:rsidP="00752C34">
      <w:pPr>
        <w:pStyle w:val="ListParagraph"/>
        <w:numPr>
          <w:ilvl w:val="1"/>
          <w:numId w:val="3"/>
        </w:numPr>
        <w:rPr>
          <w:i/>
        </w:rPr>
      </w:pPr>
      <w:r w:rsidRPr="00A172FF">
        <w:rPr>
          <w:i/>
        </w:rPr>
        <w:t>Smoke detectors must be fitted on each floor</w:t>
      </w:r>
    </w:p>
    <w:p w:rsidR="005A1D06" w:rsidRDefault="005A1D06" w:rsidP="00752C34">
      <w:pPr>
        <w:pStyle w:val="ListParagraph"/>
        <w:numPr>
          <w:ilvl w:val="1"/>
          <w:numId w:val="3"/>
        </w:numPr>
        <w:rPr>
          <w:i/>
        </w:rPr>
      </w:pPr>
      <w:r w:rsidRPr="00A172FF">
        <w:rPr>
          <w:i/>
        </w:rPr>
        <w:t>Ensure there is acce</w:t>
      </w:r>
      <w:r w:rsidR="00E219DA">
        <w:rPr>
          <w:i/>
        </w:rPr>
        <w:t xml:space="preserve">ss to escape routes </w:t>
      </w:r>
    </w:p>
    <w:p w:rsidR="009C5AF6" w:rsidRDefault="009C5AF6" w:rsidP="00752C34">
      <w:pPr>
        <w:pStyle w:val="ListParagraph"/>
        <w:numPr>
          <w:ilvl w:val="1"/>
          <w:numId w:val="3"/>
        </w:numPr>
        <w:rPr>
          <w:i/>
        </w:rPr>
      </w:pPr>
      <w:r>
        <w:rPr>
          <w:i/>
        </w:rPr>
        <w:t xml:space="preserve">A self-closing fire door with intumescent strips and cold smoke seals to be fitted on all kitchens </w:t>
      </w:r>
      <w:r w:rsidRPr="00FD160C">
        <w:rPr>
          <w:b/>
          <w:i/>
        </w:rPr>
        <w:t>regardless of the type of property</w:t>
      </w:r>
    </w:p>
    <w:p w:rsidR="0095481C" w:rsidRPr="00A172FF" w:rsidRDefault="0095481C" w:rsidP="00752C34">
      <w:pPr>
        <w:pStyle w:val="ListParagraph"/>
        <w:numPr>
          <w:ilvl w:val="1"/>
          <w:numId w:val="3"/>
        </w:numPr>
        <w:rPr>
          <w:i/>
        </w:rPr>
      </w:pPr>
      <w:r>
        <w:rPr>
          <w:i/>
        </w:rPr>
        <w:t>A fire blanket</w:t>
      </w:r>
      <w:r w:rsidR="009C5AF6">
        <w:rPr>
          <w:i/>
        </w:rPr>
        <w:t xml:space="preserve"> should be provided in kitchens</w:t>
      </w:r>
    </w:p>
    <w:p w:rsidR="00A172FF" w:rsidRPr="00A172FF" w:rsidRDefault="005A1D06" w:rsidP="00752C34">
      <w:pPr>
        <w:pStyle w:val="ListParagraph"/>
        <w:numPr>
          <w:ilvl w:val="1"/>
          <w:numId w:val="3"/>
        </w:numPr>
        <w:rPr>
          <w:i/>
        </w:rPr>
      </w:pPr>
      <w:r w:rsidRPr="00A172FF">
        <w:rPr>
          <w:i/>
        </w:rPr>
        <w:t xml:space="preserve">Make sure any furniture and furnishings supplied comply with </w:t>
      </w:r>
    </w:p>
    <w:p w:rsidR="00A172FF" w:rsidRPr="00A172FF" w:rsidRDefault="00AB7DE0" w:rsidP="00752C34">
      <w:pPr>
        <w:pStyle w:val="ListParagraph"/>
        <w:ind w:left="1440"/>
        <w:rPr>
          <w:i/>
        </w:rPr>
      </w:pPr>
      <w:hyperlink r:id="rId16" w:history="1">
        <w:r w:rsidR="00A172FF" w:rsidRPr="00A172FF">
          <w:rPr>
            <w:rStyle w:val="Hyperlink"/>
            <w:i/>
          </w:rPr>
          <w:t>http://www.legislation.gov.uk/uksi/1988/1324/contents/made</w:t>
        </w:r>
      </w:hyperlink>
    </w:p>
    <w:p w:rsidR="00A172FF" w:rsidRPr="00A172FF" w:rsidRDefault="003A4299" w:rsidP="00752C34">
      <w:pPr>
        <w:pStyle w:val="ListParagraph"/>
        <w:numPr>
          <w:ilvl w:val="1"/>
          <w:numId w:val="3"/>
        </w:numPr>
        <w:rPr>
          <w:i/>
        </w:rPr>
      </w:pPr>
      <w:r>
        <w:rPr>
          <w:i/>
        </w:rPr>
        <w:t>P</w:t>
      </w:r>
      <w:r w:rsidR="00FD160C">
        <w:rPr>
          <w:i/>
        </w:rPr>
        <w:t xml:space="preserve">rovide fire alarms, </w:t>
      </w:r>
      <w:r w:rsidR="00A172FF" w:rsidRPr="00A172FF">
        <w:rPr>
          <w:i/>
        </w:rPr>
        <w:t>extinguishers</w:t>
      </w:r>
      <w:r w:rsidR="00FD160C">
        <w:rPr>
          <w:i/>
        </w:rPr>
        <w:t xml:space="preserve"> and all other relevant fire safety precautions</w:t>
      </w:r>
      <w:r w:rsidR="00A172FF" w:rsidRPr="00A172FF">
        <w:rPr>
          <w:i/>
        </w:rPr>
        <w:t xml:space="preserve"> if the property is a large house in multiple occupation (HMO)</w:t>
      </w:r>
    </w:p>
    <w:p w:rsidR="00A172FF" w:rsidRDefault="00A172FF" w:rsidP="00752C34">
      <w:pPr>
        <w:pStyle w:val="ListParagraph"/>
        <w:numPr>
          <w:ilvl w:val="0"/>
          <w:numId w:val="3"/>
        </w:numPr>
      </w:pPr>
      <w:r>
        <w:lastRenderedPageBreak/>
        <w:t>Decoration</w:t>
      </w:r>
    </w:p>
    <w:p w:rsidR="00CA7022" w:rsidRPr="00DE24C7" w:rsidRDefault="00CA7022" w:rsidP="00391AF7">
      <w:pPr>
        <w:pStyle w:val="ListParagraph"/>
        <w:numPr>
          <w:ilvl w:val="1"/>
          <w:numId w:val="3"/>
        </w:numPr>
        <w:rPr>
          <w:i/>
        </w:rPr>
      </w:pPr>
      <w:r w:rsidRPr="00DE24C7">
        <w:rPr>
          <w:i/>
        </w:rPr>
        <w:t>All properties should be of a clean and presentable appearance with no excessive wear and tear of flooring and the décor must be clean and free from defects</w:t>
      </w:r>
    </w:p>
    <w:p w:rsidR="00E219DA" w:rsidRDefault="00E219DA" w:rsidP="00E219DA">
      <w:pPr>
        <w:pStyle w:val="ListParagraph"/>
        <w:rPr>
          <w:i/>
        </w:rPr>
      </w:pPr>
    </w:p>
    <w:p w:rsidR="00C12502" w:rsidRDefault="00C12502" w:rsidP="00E219DA">
      <w:pPr>
        <w:pStyle w:val="ListParagraph"/>
      </w:pPr>
      <w:r>
        <w:t>In addition, the following must be observed:</w:t>
      </w:r>
    </w:p>
    <w:p w:rsidR="00CA7022" w:rsidRPr="00E219DA" w:rsidRDefault="00CA7022" w:rsidP="00E219DA">
      <w:pPr>
        <w:pStyle w:val="ListParagraph"/>
        <w:rPr>
          <w:i/>
        </w:rPr>
      </w:pPr>
    </w:p>
    <w:p w:rsidR="00C12502" w:rsidRDefault="00C12502" w:rsidP="00752C34">
      <w:pPr>
        <w:pStyle w:val="ListParagraph"/>
        <w:numPr>
          <w:ilvl w:val="0"/>
          <w:numId w:val="9"/>
        </w:numPr>
      </w:pPr>
      <w:r>
        <w:t>Landlords must respond to any reported repairs in a</w:t>
      </w:r>
      <w:r w:rsidR="009C20F6">
        <w:t xml:space="preserve"> timely and</w:t>
      </w:r>
      <w:r w:rsidR="001332FE">
        <w:t xml:space="preserve"> professional manner as suggested</w:t>
      </w:r>
      <w:r w:rsidR="009C20F6">
        <w:t xml:space="preserve"> below:</w:t>
      </w:r>
    </w:p>
    <w:p w:rsidR="001332FE" w:rsidRDefault="001332FE" w:rsidP="001332FE">
      <w:pPr>
        <w:pStyle w:val="ListParagraph"/>
        <w:ind w:left="1440"/>
      </w:pPr>
    </w:p>
    <w:tbl>
      <w:tblPr>
        <w:tblStyle w:val="TableGrid"/>
        <w:tblW w:w="0" w:type="auto"/>
        <w:tblInd w:w="1440" w:type="dxa"/>
        <w:tblLook w:val="04A0" w:firstRow="1" w:lastRow="0" w:firstColumn="1" w:lastColumn="0" w:noHBand="0" w:noVBand="1"/>
      </w:tblPr>
      <w:tblGrid>
        <w:gridCol w:w="1272"/>
        <w:gridCol w:w="2630"/>
        <w:gridCol w:w="1158"/>
        <w:gridCol w:w="1101"/>
        <w:gridCol w:w="1415"/>
      </w:tblGrid>
      <w:tr w:rsidR="001332FE" w:rsidTr="001332FE">
        <w:tc>
          <w:tcPr>
            <w:tcW w:w="823" w:type="dxa"/>
            <w:shd w:val="clear" w:color="auto" w:fill="BFBFBF" w:themeFill="background1" w:themeFillShade="BF"/>
          </w:tcPr>
          <w:p w:rsidR="009C20F6" w:rsidRDefault="009C20F6" w:rsidP="001332FE">
            <w:pPr>
              <w:pStyle w:val="ListParagraph"/>
              <w:ind w:left="0"/>
            </w:pPr>
            <w:r>
              <w:t>Level of Issue</w:t>
            </w:r>
          </w:p>
        </w:tc>
        <w:tc>
          <w:tcPr>
            <w:tcW w:w="2953" w:type="dxa"/>
            <w:shd w:val="clear" w:color="auto" w:fill="BFBFBF" w:themeFill="background1" w:themeFillShade="BF"/>
          </w:tcPr>
          <w:p w:rsidR="009C20F6" w:rsidRDefault="009C20F6" w:rsidP="001332FE">
            <w:pPr>
              <w:pStyle w:val="ListParagraph"/>
              <w:ind w:left="0"/>
            </w:pPr>
            <w:r>
              <w:t>Examples</w:t>
            </w:r>
          </w:p>
        </w:tc>
        <w:tc>
          <w:tcPr>
            <w:tcW w:w="1158" w:type="dxa"/>
            <w:shd w:val="clear" w:color="auto" w:fill="BFBFBF" w:themeFill="background1" w:themeFillShade="BF"/>
          </w:tcPr>
          <w:p w:rsidR="009C20F6" w:rsidRDefault="009C20F6" w:rsidP="001332FE">
            <w:pPr>
              <w:pStyle w:val="ListParagraph"/>
              <w:ind w:left="0"/>
            </w:pPr>
            <w:r>
              <w:t>Issue Addressed</w:t>
            </w:r>
          </w:p>
        </w:tc>
        <w:tc>
          <w:tcPr>
            <w:tcW w:w="1132" w:type="dxa"/>
            <w:shd w:val="clear" w:color="auto" w:fill="BFBFBF" w:themeFill="background1" w:themeFillShade="BF"/>
          </w:tcPr>
          <w:p w:rsidR="009C20F6" w:rsidRDefault="009C20F6" w:rsidP="001332FE">
            <w:pPr>
              <w:pStyle w:val="ListParagraph"/>
              <w:ind w:left="0"/>
            </w:pPr>
            <w:r>
              <w:t>Initial Progress Report</w:t>
            </w:r>
          </w:p>
        </w:tc>
        <w:tc>
          <w:tcPr>
            <w:tcW w:w="1510" w:type="dxa"/>
            <w:shd w:val="clear" w:color="auto" w:fill="BFBFBF" w:themeFill="background1" w:themeFillShade="BF"/>
          </w:tcPr>
          <w:p w:rsidR="009C20F6" w:rsidRDefault="009C20F6" w:rsidP="001332FE">
            <w:pPr>
              <w:pStyle w:val="ListParagraph"/>
              <w:ind w:left="0"/>
            </w:pPr>
            <w:r>
              <w:t>Follow up until complete</w:t>
            </w:r>
          </w:p>
        </w:tc>
      </w:tr>
      <w:tr w:rsidR="001332FE" w:rsidTr="001332FE">
        <w:tc>
          <w:tcPr>
            <w:tcW w:w="823" w:type="dxa"/>
          </w:tcPr>
          <w:p w:rsidR="009C20F6" w:rsidRDefault="009C20F6" w:rsidP="001332FE">
            <w:pPr>
              <w:pStyle w:val="ListParagraph"/>
              <w:ind w:left="0"/>
            </w:pPr>
            <w:r>
              <w:t>Major issues</w:t>
            </w:r>
          </w:p>
        </w:tc>
        <w:tc>
          <w:tcPr>
            <w:tcW w:w="2953" w:type="dxa"/>
          </w:tcPr>
          <w:p w:rsidR="009C20F6" w:rsidRDefault="009C20F6" w:rsidP="001332FE">
            <w:pPr>
              <w:pStyle w:val="ListParagraph"/>
              <w:ind w:left="0"/>
            </w:pPr>
            <w:r>
              <w:t>Boiler problems and leaks, issues with water and gas, any electrical safety issues, broken windows, cooker and toilet not working. Additionally, any issue which compromises the security and safety of the students and the property.</w:t>
            </w:r>
          </w:p>
        </w:tc>
        <w:tc>
          <w:tcPr>
            <w:tcW w:w="1158" w:type="dxa"/>
          </w:tcPr>
          <w:p w:rsidR="009C20F6" w:rsidRDefault="001332FE" w:rsidP="001332FE">
            <w:pPr>
              <w:pStyle w:val="ListParagraph"/>
              <w:ind w:left="0"/>
            </w:pPr>
            <w:r>
              <w:t>Within 24 hours</w:t>
            </w:r>
          </w:p>
        </w:tc>
        <w:tc>
          <w:tcPr>
            <w:tcW w:w="1132" w:type="dxa"/>
          </w:tcPr>
          <w:p w:rsidR="009C20F6" w:rsidRDefault="001332FE" w:rsidP="001332FE">
            <w:pPr>
              <w:pStyle w:val="ListParagraph"/>
              <w:ind w:left="0"/>
            </w:pPr>
            <w:r>
              <w:t>Within 24 hours</w:t>
            </w:r>
          </w:p>
        </w:tc>
        <w:tc>
          <w:tcPr>
            <w:tcW w:w="1510" w:type="dxa"/>
          </w:tcPr>
          <w:p w:rsidR="009C20F6" w:rsidRDefault="001332FE" w:rsidP="001332FE">
            <w:pPr>
              <w:pStyle w:val="ListParagraph"/>
              <w:ind w:left="0"/>
            </w:pPr>
            <w:r>
              <w:t>Daily until resolved</w:t>
            </w:r>
          </w:p>
        </w:tc>
      </w:tr>
      <w:tr w:rsidR="001332FE" w:rsidTr="001332FE">
        <w:tc>
          <w:tcPr>
            <w:tcW w:w="823" w:type="dxa"/>
          </w:tcPr>
          <w:p w:rsidR="009C20F6" w:rsidRDefault="001332FE" w:rsidP="001332FE">
            <w:pPr>
              <w:pStyle w:val="ListParagraph"/>
              <w:ind w:left="0"/>
            </w:pPr>
            <w:r>
              <w:t>Infestations</w:t>
            </w:r>
          </w:p>
        </w:tc>
        <w:tc>
          <w:tcPr>
            <w:tcW w:w="2953" w:type="dxa"/>
          </w:tcPr>
          <w:p w:rsidR="009C20F6" w:rsidRDefault="009C20F6" w:rsidP="001332FE">
            <w:pPr>
              <w:pStyle w:val="ListParagraph"/>
              <w:ind w:left="0"/>
            </w:pPr>
          </w:p>
        </w:tc>
        <w:tc>
          <w:tcPr>
            <w:tcW w:w="1158" w:type="dxa"/>
          </w:tcPr>
          <w:p w:rsidR="009C20F6" w:rsidRDefault="005E2881" w:rsidP="001332FE">
            <w:pPr>
              <w:pStyle w:val="ListParagraph"/>
              <w:ind w:left="0"/>
            </w:pPr>
            <w:r>
              <w:t>Within 5 days</w:t>
            </w:r>
          </w:p>
        </w:tc>
        <w:tc>
          <w:tcPr>
            <w:tcW w:w="1132" w:type="dxa"/>
          </w:tcPr>
          <w:p w:rsidR="009C20F6" w:rsidRDefault="005E2881" w:rsidP="001332FE">
            <w:pPr>
              <w:pStyle w:val="ListParagraph"/>
              <w:ind w:left="0"/>
            </w:pPr>
            <w:r>
              <w:t>Within 5 days</w:t>
            </w:r>
          </w:p>
        </w:tc>
        <w:tc>
          <w:tcPr>
            <w:tcW w:w="1510" w:type="dxa"/>
          </w:tcPr>
          <w:p w:rsidR="009C20F6" w:rsidRDefault="001332FE" w:rsidP="001332FE">
            <w:pPr>
              <w:pStyle w:val="ListParagraph"/>
              <w:ind w:left="0"/>
            </w:pPr>
            <w:r>
              <w:t>Every 2-3 days until resolved</w:t>
            </w:r>
          </w:p>
        </w:tc>
      </w:tr>
      <w:tr w:rsidR="001332FE" w:rsidTr="001332FE">
        <w:tc>
          <w:tcPr>
            <w:tcW w:w="823" w:type="dxa"/>
          </w:tcPr>
          <w:p w:rsidR="009C20F6" w:rsidRDefault="001332FE" w:rsidP="001332FE">
            <w:pPr>
              <w:pStyle w:val="ListParagraph"/>
              <w:ind w:left="0"/>
            </w:pPr>
            <w:r>
              <w:t>Mid</w:t>
            </w:r>
          </w:p>
        </w:tc>
        <w:tc>
          <w:tcPr>
            <w:tcW w:w="2953" w:type="dxa"/>
          </w:tcPr>
          <w:p w:rsidR="009C20F6" w:rsidRDefault="001332FE" w:rsidP="001332FE">
            <w:pPr>
              <w:pStyle w:val="ListParagraph"/>
              <w:ind w:left="0"/>
            </w:pPr>
            <w:r>
              <w:t xml:space="preserve">Household appliances not working </w:t>
            </w:r>
          </w:p>
        </w:tc>
        <w:tc>
          <w:tcPr>
            <w:tcW w:w="1158" w:type="dxa"/>
          </w:tcPr>
          <w:p w:rsidR="009C20F6" w:rsidRDefault="001332FE" w:rsidP="001332FE">
            <w:pPr>
              <w:pStyle w:val="ListParagraph"/>
              <w:ind w:left="0"/>
            </w:pPr>
            <w:r>
              <w:t>Within 5 days</w:t>
            </w:r>
          </w:p>
        </w:tc>
        <w:tc>
          <w:tcPr>
            <w:tcW w:w="1132" w:type="dxa"/>
          </w:tcPr>
          <w:p w:rsidR="009C20F6" w:rsidRDefault="001332FE" w:rsidP="001332FE">
            <w:pPr>
              <w:pStyle w:val="ListParagraph"/>
              <w:ind w:left="0"/>
            </w:pPr>
            <w:r>
              <w:t>Within 48 hours</w:t>
            </w:r>
          </w:p>
        </w:tc>
        <w:tc>
          <w:tcPr>
            <w:tcW w:w="1510" w:type="dxa"/>
          </w:tcPr>
          <w:p w:rsidR="009C20F6" w:rsidRDefault="001332FE" w:rsidP="001332FE">
            <w:pPr>
              <w:pStyle w:val="ListParagraph"/>
              <w:ind w:left="0"/>
            </w:pPr>
            <w:r>
              <w:t>Every 5 days until rectified</w:t>
            </w:r>
          </w:p>
        </w:tc>
      </w:tr>
      <w:tr w:rsidR="001332FE" w:rsidTr="001332FE">
        <w:tc>
          <w:tcPr>
            <w:tcW w:w="823" w:type="dxa"/>
          </w:tcPr>
          <w:p w:rsidR="009C20F6" w:rsidRDefault="001332FE" w:rsidP="001332FE">
            <w:pPr>
              <w:pStyle w:val="ListParagraph"/>
              <w:ind w:left="0"/>
            </w:pPr>
            <w:r>
              <w:t>Minor</w:t>
            </w:r>
          </w:p>
        </w:tc>
        <w:tc>
          <w:tcPr>
            <w:tcW w:w="2953" w:type="dxa"/>
          </w:tcPr>
          <w:p w:rsidR="009C20F6" w:rsidRDefault="001332FE" w:rsidP="001332FE">
            <w:pPr>
              <w:pStyle w:val="ListParagraph"/>
              <w:ind w:left="0"/>
            </w:pPr>
            <w:r>
              <w:t>Problems with wardrobes, drawers and other furniture</w:t>
            </w:r>
          </w:p>
        </w:tc>
        <w:tc>
          <w:tcPr>
            <w:tcW w:w="1158" w:type="dxa"/>
          </w:tcPr>
          <w:p w:rsidR="009C20F6" w:rsidRDefault="001332FE" w:rsidP="001332FE">
            <w:pPr>
              <w:pStyle w:val="ListParagraph"/>
              <w:ind w:left="0"/>
            </w:pPr>
            <w:r>
              <w:t>Within 14 days</w:t>
            </w:r>
          </w:p>
        </w:tc>
        <w:tc>
          <w:tcPr>
            <w:tcW w:w="1132" w:type="dxa"/>
          </w:tcPr>
          <w:p w:rsidR="009C20F6" w:rsidRDefault="001332FE" w:rsidP="001332FE">
            <w:pPr>
              <w:pStyle w:val="ListParagraph"/>
              <w:ind w:left="0"/>
            </w:pPr>
            <w:r>
              <w:t>Within 7 days</w:t>
            </w:r>
          </w:p>
        </w:tc>
        <w:tc>
          <w:tcPr>
            <w:tcW w:w="1510" w:type="dxa"/>
          </w:tcPr>
          <w:p w:rsidR="009C20F6" w:rsidRDefault="001332FE" w:rsidP="001332FE">
            <w:pPr>
              <w:pStyle w:val="ListParagraph"/>
              <w:ind w:left="0"/>
            </w:pPr>
            <w:r>
              <w:t>Every 5 days until rectified</w:t>
            </w:r>
          </w:p>
        </w:tc>
      </w:tr>
    </w:tbl>
    <w:p w:rsidR="009C20F6" w:rsidRDefault="009C20F6" w:rsidP="009C20F6">
      <w:pPr>
        <w:pStyle w:val="ListParagraph"/>
        <w:ind w:left="1440"/>
      </w:pPr>
    </w:p>
    <w:p w:rsidR="00C12502" w:rsidRDefault="00C12502" w:rsidP="00752C34">
      <w:pPr>
        <w:pStyle w:val="ListParagraph"/>
        <w:numPr>
          <w:ilvl w:val="0"/>
          <w:numId w:val="9"/>
        </w:numPr>
      </w:pPr>
      <w:r>
        <w:t>Landlo</w:t>
      </w:r>
      <w:r w:rsidR="00B959D3">
        <w:t>rds must give at least 24 hours</w:t>
      </w:r>
      <w:r>
        <w:t xml:space="preserve"> </w:t>
      </w:r>
      <w:r w:rsidR="00AD2701">
        <w:t xml:space="preserve">written </w:t>
      </w:r>
      <w:r>
        <w:t>notice for access in all cases except where access is required in an emergency.</w:t>
      </w:r>
    </w:p>
    <w:p w:rsidR="00761790" w:rsidRDefault="00761790" w:rsidP="00752C34">
      <w:pPr>
        <w:pStyle w:val="ListParagraph"/>
        <w:numPr>
          <w:ilvl w:val="0"/>
          <w:numId w:val="9"/>
        </w:numPr>
      </w:pPr>
      <w:r>
        <w:t>Landlords must provide their contact details to tenants including out of hours emergency details.</w:t>
      </w:r>
    </w:p>
    <w:p w:rsidR="00C12502" w:rsidRDefault="00C12502" w:rsidP="00752C34">
      <w:pPr>
        <w:pStyle w:val="ListParagraph"/>
        <w:numPr>
          <w:ilvl w:val="0"/>
          <w:numId w:val="9"/>
        </w:numPr>
      </w:pPr>
      <w:r>
        <w:t>Landlords must always act in a fair, reasonable and professional manner in t</w:t>
      </w:r>
      <w:r w:rsidR="00391AF7">
        <w:t xml:space="preserve">heir dealings with tenants and </w:t>
      </w:r>
      <w:r>
        <w:t>must not discriminate because of colour, ethnicity, di</w:t>
      </w:r>
      <w:r w:rsidR="00AD54C1">
        <w:t>sability, age, gender, religion</w:t>
      </w:r>
      <w:r w:rsidR="0095481C">
        <w:t xml:space="preserve"> or sexuality as per the TUSU equal opportunities policy.</w:t>
      </w:r>
    </w:p>
    <w:p w:rsidR="00C12502" w:rsidRDefault="00C12502" w:rsidP="00A172FF">
      <w:pPr>
        <w:pStyle w:val="ListParagraph"/>
        <w:ind w:left="1440"/>
      </w:pPr>
    </w:p>
    <w:p w:rsidR="00A172FF" w:rsidRDefault="00A172FF" w:rsidP="00A172FF">
      <w:pPr>
        <w:pStyle w:val="ListParagraph"/>
        <w:ind w:left="1440"/>
      </w:pPr>
    </w:p>
    <w:p w:rsidR="00E10D18" w:rsidRDefault="00E10D18" w:rsidP="00E10D18">
      <w:pPr>
        <w:pStyle w:val="ListParagraph"/>
      </w:pPr>
    </w:p>
    <w:p w:rsidR="00AB0DBF" w:rsidRDefault="00AB0DBF" w:rsidP="00E10D18">
      <w:pPr>
        <w:pStyle w:val="ListParagraph"/>
      </w:pPr>
    </w:p>
    <w:p w:rsidR="00AB0DBF" w:rsidRDefault="00AB0DBF" w:rsidP="00E10D18">
      <w:pPr>
        <w:pStyle w:val="ListParagraph"/>
      </w:pPr>
    </w:p>
    <w:p w:rsidR="00AB0DBF" w:rsidRDefault="00AB0DBF" w:rsidP="00E10D18">
      <w:pPr>
        <w:pStyle w:val="ListParagraph"/>
      </w:pPr>
    </w:p>
    <w:p w:rsidR="00AB0DBF" w:rsidRDefault="00AB0DBF" w:rsidP="00E10D18">
      <w:pPr>
        <w:pStyle w:val="ListParagraph"/>
      </w:pPr>
    </w:p>
    <w:p w:rsidR="001332FE" w:rsidRDefault="001332FE" w:rsidP="00752C34"/>
    <w:p w:rsidR="00E219DA" w:rsidRDefault="00E219DA" w:rsidP="00752C34">
      <w:pPr>
        <w:rPr>
          <w:i/>
          <w:sz w:val="28"/>
          <w:szCs w:val="28"/>
        </w:rPr>
      </w:pPr>
    </w:p>
    <w:p w:rsidR="00391AF7" w:rsidRDefault="00391AF7" w:rsidP="00752C34">
      <w:pPr>
        <w:rPr>
          <w:i/>
          <w:sz w:val="28"/>
          <w:szCs w:val="28"/>
        </w:rPr>
      </w:pPr>
    </w:p>
    <w:p w:rsidR="00356654" w:rsidRDefault="00356654" w:rsidP="00752C34">
      <w:pPr>
        <w:rPr>
          <w:i/>
          <w:sz w:val="28"/>
          <w:szCs w:val="28"/>
        </w:rPr>
      </w:pPr>
      <w:r>
        <w:rPr>
          <w:i/>
          <w:sz w:val="28"/>
          <w:szCs w:val="28"/>
        </w:rPr>
        <w:lastRenderedPageBreak/>
        <w:t xml:space="preserve">SECTION 3: How the </w:t>
      </w:r>
      <w:r w:rsidR="0095481C">
        <w:rPr>
          <w:i/>
          <w:sz w:val="28"/>
          <w:szCs w:val="28"/>
        </w:rPr>
        <w:t>s</w:t>
      </w:r>
      <w:r>
        <w:rPr>
          <w:i/>
          <w:sz w:val="28"/>
          <w:szCs w:val="28"/>
        </w:rPr>
        <w:t>cheme works</w:t>
      </w:r>
    </w:p>
    <w:p w:rsidR="00DB7F5F" w:rsidRDefault="00DB7F5F" w:rsidP="00752C34">
      <w:r>
        <w:t>As outlined in the introduction and aims we are committed to working with you to ensure that this is a straightforward process that you are fully prepared for before we embark on the visit stage</w:t>
      </w:r>
      <w:r w:rsidR="00F10435">
        <w:t xml:space="preserve"> of the scheme.</w:t>
      </w:r>
    </w:p>
    <w:p w:rsidR="00F10435" w:rsidRDefault="00F10435" w:rsidP="00752C34">
      <w:r>
        <w:t>The scheme will run from 1</w:t>
      </w:r>
      <w:r w:rsidRPr="00F10435">
        <w:rPr>
          <w:vertAlign w:val="superscript"/>
        </w:rPr>
        <w:t>st</w:t>
      </w:r>
      <w:r w:rsidR="00FD160C">
        <w:t xml:space="preserve"> September 2019</w:t>
      </w:r>
      <w:r w:rsidR="00A63DB7">
        <w:t xml:space="preserve"> – 31</w:t>
      </w:r>
      <w:r w:rsidR="00A63DB7" w:rsidRPr="00A63DB7">
        <w:rPr>
          <w:vertAlign w:val="superscript"/>
        </w:rPr>
        <w:t>st</w:t>
      </w:r>
      <w:r w:rsidR="00FD160C">
        <w:t xml:space="preserve"> July 2020</w:t>
      </w:r>
      <w:r>
        <w:t xml:space="preserve"> allowing for accommodation providers to be accredited and ready for the start of the academic year. </w:t>
      </w:r>
    </w:p>
    <w:p w:rsidR="007254B0" w:rsidRDefault="00F10435" w:rsidP="00752C34">
      <w:r>
        <w:t xml:space="preserve">This will also give you plenty of time to discuss advertising and marketing packages with our </w:t>
      </w:r>
      <w:r w:rsidR="007254B0">
        <w:t>sales team.</w:t>
      </w:r>
    </w:p>
    <w:p w:rsidR="00F10435" w:rsidRPr="00DB7F5F" w:rsidRDefault="00F10435" w:rsidP="00752C34">
      <w:r>
        <w:t>There will be no opportunity to join the scheme on a mid-year basis.</w:t>
      </w:r>
    </w:p>
    <w:p w:rsidR="00ED190B" w:rsidRDefault="00356654" w:rsidP="00752C34">
      <w:pPr>
        <w:pStyle w:val="ListParagraph"/>
        <w:numPr>
          <w:ilvl w:val="0"/>
          <w:numId w:val="10"/>
        </w:numPr>
      </w:pPr>
      <w:r>
        <w:t>If you are interested in being part of the scheme, you will first complete the</w:t>
      </w:r>
      <w:r w:rsidR="00DB7F5F">
        <w:t xml:space="preserve"> registration </w:t>
      </w:r>
      <w:r>
        <w:t xml:space="preserve">form giving us some </w:t>
      </w:r>
      <w:r w:rsidR="00DB7F5F">
        <w:t xml:space="preserve">information </w:t>
      </w:r>
      <w:r>
        <w:t>about your organisation and properties</w:t>
      </w:r>
      <w:r w:rsidR="00ED190B">
        <w:t xml:space="preserve">. </w:t>
      </w:r>
    </w:p>
    <w:p w:rsidR="00ED190B" w:rsidRDefault="00ED190B" w:rsidP="00752C34">
      <w:pPr>
        <w:pStyle w:val="ListParagraph"/>
        <w:numPr>
          <w:ilvl w:val="0"/>
          <w:numId w:val="10"/>
        </w:numPr>
      </w:pPr>
      <w:r>
        <w:t xml:space="preserve">The completed form will be returned to us at </w:t>
      </w:r>
      <w:hyperlink r:id="rId17" w:history="1">
        <w:r w:rsidRPr="001A3D22">
          <w:rPr>
            <w:rStyle w:val="Hyperlink"/>
          </w:rPr>
          <w:t>TUSUaccreditation@tees-su.org.uk</w:t>
        </w:r>
      </w:hyperlink>
      <w:r>
        <w:t xml:space="preserve"> </w:t>
      </w:r>
      <w:r w:rsidR="00B26525">
        <w:t>along with your property portfolio list and a copy of your current tenancy</w:t>
      </w:r>
      <w:r w:rsidR="00D668BE">
        <w:t xml:space="preserve"> agreement. W</w:t>
      </w:r>
      <w:r>
        <w:t>e will contact you within 14 days</w:t>
      </w:r>
      <w:r w:rsidR="00B26525">
        <w:t xml:space="preserve"> of receipt of these documents</w:t>
      </w:r>
      <w:r>
        <w:t xml:space="preserve"> to arrange an initial meeting.</w:t>
      </w:r>
    </w:p>
    <w:p w:rsidR="00ED190B" w:rsidRDefault="00ED190B" w:rsidP="00752C34">
      <w:pPr>
        <w:pStyle w:val="ListParagraph"/>
        <w:numPr>
          <w:ilvl w:val="0"/>
          <w:numId w:val="10"/>
        </w:numPr>
      </w:pPr>
      <w:r>
        <w:t xml:space="preserve">At this meeting </w:t>
      </w:r>
      <w:r w:rsidR="007542F3">
        <w:t xml:space="preserve">we </w:t>
      </w:r>
      <w:r>
        <w:t xml:space="preserve">will look at the standard to see if you have any questions and at this stage we will ask you to sign a declaration form stating that you meet the </w:t>
      </w:r>
      <w:r w:rsidR="00DB7F5F">
        <w:t>minimum requirements as outlined.</w:t>
      </w:r>
    </w:p>
    <w:p w:rsidR="00DB7F5F" w:rsidRDefault="00DB7F5F" w:rsidP="00752C34">
      <w:pPr>
        <w:pStyle w:val="ListParagraph"/>
        <w:numPr>
          <w:ilvl w:val="0"/>
          <w:numId w:val="10"/>
        </w:numPr>
      </w:pPr>
      <w:r>
        <w:t>From here we will arrange to view a minimum of 10% of your properties as chosen at random by us. This assessment will include seeing all appropriate documentation as outlined in the standard.</w:t>
      </w:r>
      <w:r w:rsidR="009C5AF6">
        <w:t xml:space="preserve"> </w:t>
      </w:r>
      <w:r w:rsidR="009C5AF6" w:rsidRPr="009C5AF6">
        <w:rPr>
          <w:i/>
        </w:rPr>
        <w:t>This documentation must be provided prior to the visit.</w:t>
      </w:r>
    </w:p>
    <w:p w:rsidR="0082401D" w:rsidRDefault="0082401D" w:rsidP="00752C34">
      <w:pPr>
        <w:pStyle w:val="ListParagraph"/>
        <w:numPr>
          <w:ilvl w:val="0"/>
          <w:numId w:val="10"/>
        </w:numPr>
      </w:pPr>
      <w:r>
        <w:t>If any remedial work is required we will feed this information back to you to rectify and arrange a follow-up visit.</w:t>
      </w:r>
    </w:p>
    <w:p w:rsidR="009C5AF6" w:rsidRPr="00356654" w:rsidRDefault="009C5AF6" w:rsidP="00752C34">
      <w:pPr>
        <w:pStyle w:val="ListParagraph"/>
        <w:numPr>
          <w:ilvl w:val="0"/>
          <w:numId w:val="10"/>
        </w:numPr>
      </w:pPr>
      <w:r>
        <w:t xml:space="preserve">Remedial works to be completed within 28 </w:t>
      </w:r>
      <w:r w:rsidR="00E72845">
        <w:t>calendar</w:t>
      </w:r>
      <w:r>
        <w:t xml:space="preserve"> days of the original visit. </w:t>
      </w:r>
      <w:r w:rsidR="00E72845">
        <w:t xml:space="preserve">Please note, we </w:t>
      </w:r>
      <w:r w:rsidR="003F3FC6">
        <w:t>will only visit a property twice</w:t>
      </w:r>
      <w:r w:rsidR="00E72845">
        <w:t xml:space="preserve">. </w:t>
      </w:r>
      <w:r w:rsidR="003F3FC6">
        <w:t xml:space="preserve">If a third visit is required there will be a further charge of £50 per property. </w:t>
      </w:r>
      <w:r w:rsidR="00E72845" w:rsidRPr="00E72845">
        <w:rPr>
          <w:i/>
        </w:rPr>
        <w:t>If remedial work is still required after the third visit you will have been unsuccessful in gaining accreditation.</w:t>
      </w:r>
    </w:p>
    <w:p w:rsidR="0082401D" w:rsidRDefault="0082401D" w:rsidP="00752C34">
      <w:pPr>
        <w:pStyle w:val="ListParagraph"/>
        <w:numPr>
          <w:ilvl w:val="0"/>
          <w:numId w:val="10"/>
        </w:numPr>
      </w:pPr>
      <w:r>
        <w:t>Following successful completion of the visits you will be presented with a TUSU Landlord Accreditation Scheme certificate and added to our list of recommended landlords.</w:t>
      </w:r>
    </w:p>
    <w:p w:rsidR="0082401D" w:rsidRDefault="0082401D" w:rsidP="00752C34">
      <w:pPr>
        <w:pStyle w:val="ListParagraph"/>
        <w:numPr>
          <w:ilvl w:val="0"/>
          <w:numId w:val="10"/>
        </w:numPr>
      </w:pPr>
      <w:r>
        <w:t xml:space="preserve">Your details will then be passed to our Sales </w:t>
      </w:r>
      <w:r w:rsidR="007254B0">
        <w:t xml:space="preserve">team </w:t>
      </w:r>
      <w:r>
        <w:t>who can discuss our range of advertising packages with you.</w:t>
      </w:r>
    </w:p>
    <w:p w:rsidR="00270005" w:rsidRPr="003F3FC6" w:rsidRDefault="0082401D" w:rsidP="00752C34">
      <w:r>
        <w:t>The pricing structure is solely to go through our accreditation process and be listed on our website as a recommended landlord.</w:t>
      </w:r>
      <w:r w:rsidR="007254B0">
        <w:t xml:space="preserve"> You should expect to pay additional fees for further advertising and </w:t>
      </w:r>
      <w:r w:rsidR="007254B0" w:rsidRPr="003F3FC6">
        <w:t>promotion.</w:t>
      </w:r>
    </w:p>
    <w:p w:rsidR="00E363F4" w:rsidRPr="003F3FC6" w:rsidRDefault="003F3FC6" w:rsidP="00047BCF">
      <w:r w:rsidRPr="003F3FC6">
        <w:t>You will be provided with a price within 5 days of your application.</w:t>
      </w:r>
    </w:p>
    <w:p w:rsidR="00196C13" w:rsidRDefault="00196C13">
      <w:pPr>
        <w:rPr>
          <w:i/>
          <w:sz w:val="28"/>
          <w:szCs w:val="28"/>
        </w:rPr>
      </w:pPr>
    </w:p>
    <w:p w:rsidR="00196C13" w:rsidRDefault="00196C13">
      <w:pPr>
        <w:rPr>
          <w:i/>
          <w:sz w:val="28"/>
          <w:szCs w:val="28"/>
        </w:rPr>
      </w:pPr>
    </w:p>
    <w:p w:rsidR="00196C13" w:rsidRDefault="00196C13">
      <w:pPr>
        <w:rPr>
          <w:i/>
          <w:sz w:val="28"/>
          <w:szCs w:val="28"/>
        </w:rPr>
      </w:pPr>
    </w:p>
    <w:p w:rsidR="00196C13" w:rsidRDefault="00196C13">
      <w:pPr>
        <w:rPr>
          <w:i/>
          <w:sz w:val="28"/>
          <w:szCs w:val="28"/>
        </w:rPr>
      </w:pPr>
    </w:p>
    <w:p w:rsidR="00196C13" w:rsidRDefault="00196C13">
      <w:pPr>
        <w:rPr>
          <w:i/>
          <w:sz w:val="28"/>
          <w:szCs w:val="28"/>
        </w:rPr>
      </w:pPr>
    </w:p>
    <w:p w:rsidR="00E363F4" w:rsidRDefault="00E363F4">
      <w:pPr>
        <w:rPr>
          <w:i/>
          <w:sz w:val="28"/>
          <w:szCs w:val="28"/>
        </w:rPr>
      </w:pPr>
      <w:r w:rsidRPr="00E363F4">
        <w:rPr>
          <w:i/>
          <w:sz w:val="28"/>
          <w:szCs w:val="28"/>
        </w:rPr>
        <w:lastRenderedPageBreak/>
        <w:t xml:space="preserve">SECTION 4: Timings </w:t>
      </w:r>
    </w:p>
    <w:p w:rsidR="00E363F4" w:rsidRDefault="00E363F4">
      <w:r>
        <w:t>In order to be successful in gaining accreditation, the timings outlined below MUST be adhered to:</w:t>
      </w:r>
    </w:p>
    <w:p w:rsidR="00E363F4" w:rsidRDefault="00E363F4" w:rsidP="00BC061C">
      <w:pPr>
        <w:pStyle w:val="ListParagraph"/>
        <w:numPr>
          <w:ilvl w:val="0"/>
          <w:numId w:val="19"/>
        </w:numPr>
      </w:pPr>
      <w:r>
        <w:t>Applications</w:t>
      </w:r>
    </w:p>
    <w:p w:rsidR="00E363F4" w:rsidRDefault="00E363F4" w:rsidP="00BC061C">
      <w:pPr>
        <w:ind w:left="360"/>
      </w:pPr>
      <w:r>
        <w:t xml:space="preserve">Applications to the 2018/19 scheme will open on Monday </w:t>
      </w:r>
      <w:r w:rsidR="00460B27">
        <w:t>18</w:t>
      </w:r>
      <w:r w:rsidR="00460B27" w:rsidRPr="00460B27">
        <w:rPr>
          <w:vertAlign w:val="superscript"/>
        </w:rPr>
        <w:t>th</w:t>
      </w:r>
      <w:r w:rsidR="00460B27">
        <w:t xml:space="preserve"> March and close on Friday 12</w:t>
      </w:r>
      <w:r w:rsidRPr="00E363F4">
        <w:rPr>
          <w:vertAlign w:val="superscript"/>
        </w:rPr>
        <w:t>th</w:t>
      </w:r>
      <w:r w:rsidR="00460B27">
        <w:t xml:space="preserve"> April 2019</w:t>
      </w:r>
      <w:r>
        <w:t>. During this period you must return the following:</w:t>
      </w:r>
    </w:p>
    <w:p w:rsidR="006E3D8A" w:rsidRDefault="006E3D8A" w:rsidP="006E3D8A">
      <w:pPr>
        <w:pStyle w:val="ListParagraph"/>
        <w:numPr>
          <w:ilvl w:val="0"/>
          <w:numId w:val="18"/>
        </w:numPr>
      </w:pPr>
      <w:r>
        <w:t>A completed registration form</w:t>
      </w:r>
    </w:p>
    <w:p w:rsidR="006E3D8A" w:rsidRDefault="006E3D8A" w:rsidP="006E3D8A">
      <w:pPr>
        <w:pStyle w:val="ListParagraph"/>
        <w:numPr>
          <w:ilvl w:val="0"/>
          <w:numId w:val="18"/>
        </w:numPr>
      </w:pPr>
      <w:r>
        <w:t>An up to date property portfolio form</w:t>
      </w:r>
    </w:p>
    <w:p w:rsidR="006964AC" w:rsidRDefault="006964AC" w:rsidP="006E3D8A">
      <w:pPr>
        <w:pStyle w:val="ListParagraph"/>
        <w:numPr>
          <w:ilvl w:val="0"/>
          <w:numId w:val="18"/>
        </w:numPr>
      </w:pPr>
      <w:r>
        <w:t>A copy of your current tenancy agreement</w:t>
      </w:r>
    </w:p>
    <w:p w:rsidR="006E3D8A" w:rsidRPr="00D44D83" w:rsidRDefault="006E3D8A" w:rsidP="006E3D8A">
      <w:pPr>
        <w:jc w:val="left"/>
        <w:rPr>
          <w:i/>
        </w:rPr>
      </w:pPr>
      <w:r w:rsidRPr="00D44D83">
        <w:rPr>
          <w:i/>
        </w:rPr>
        <w:t>We will not accept any applications that fall outside of the above stated dates.</w:t>
      </w:r>
    </w:p>
    <w:p w:rsidR="006E3D8A" w:rsidRDefault="006E3D8A" w:rsidP="00BC061C">
      <w:pPr>
        <w:pStyle w:val="ListParagraph"/>
        <w:numPr>
          <w:ilvl w:val="0"/>
          <w:numId w:val="20"/>
        </w:numPr>
        <w:jc w:val="left"/>
      </w:pPr>
      <w:r>
        <w:t>Meetings</w:t>
      </w:r>
    </w:p>
    <w:p w:rsidR="006E3D8A" w:rsidRDefault="006E3D8A" w:rsidP="00BC061C">
      <w:pPr>
        <w:ind w:left="360"/>
        <w:jc w:val="left"/>
      </w:pPr>
      <w:r>
        <w:t xml:space="preserve">We will meet with all applicants during </w:t>
      </w:r>
      <w:proofErr w:type="gramStart"/>
      <w:r w:rsidR="00460B27">
        <w:t>between the 16th – 30</w:t>
      </w:r>
      <w:r w:rsidR="00D44D83" w:rsidRPr="00D44D83">
        <w:rPr>
          <w:vertAlign w:val="superscript"/>
        </w:rPr>
        <w:t>th</w:t>
      </w:r>
      <w:proofErr w:type="gramEnd"/>
      <w:r w:rsidR="00D44D83">
        <w:t xml:space="preserve"> </w:t>
      </w:r>
      <w:r w:rsidR="00460B27">
        <w:t>April</w:t>
      </w:r>
      <w:r>
        <w:t xml:space="preserve"> to run through the process. At this stage, applicants will sign the declaration form.</w:t>
      </w:r>
    </w:p>
    <w:p w:rsidR="00D44D83" w:rsidRDefault="006E3D8A" w:rsidP="00BC061C">
      <w:pPr>
        <w:ind w:left="360"/>
        <w:jc w:val="left"/>
      </w:pPr>
      <w:r>
        <w:t>Directly following the meeting you will be invoiced and once payment is received we will start to plan the visits.</w:t>
      </w:r>
    </w:p>
    <w:p w:rsidR="00D44D83" w:rsidRPr="00D44D83" w:rsidRDefault="00D44D83" w:rsidP="00BC061C">
      <w:pPr>
        <w:ind w:left="360"/>
        <w:jc w:val="left"/>
        <w:rPr>
          <w:i/>
        </w:rPr>
      </w:pPr>
      <w:r w:rsidRPr="00D44D83">
        <w:rPr>
          <w:i/>
        </w:rPr>
        <w:t>All</w:t>
      </w:r>
      <w:r w:rsidR="00460B27">
        <w:rPr>
          <w:i/>
        </w:rPr>
        <w:t xml:space="preserve"> invoices must be paid before 17th</w:t>
      </w:r>
      <w:r w:rsidRPr="00D44D83">
        <w:rPr>
          <w:i/>
          <w:vertAlign w:val="superscript"/>
        </w:rPr>
        <w:t>t</w:t>
      </w:r>
      <w:r w:rsidRPr="00D44D83">
        <w:rPr>
          <w:i/>
        </w:rPr>
        <w:t xml:space="preserve"> May </w:t>
      </w:r>
      <w:r w:rsidR="006964AC">
        <w:rPr>
          <w:i/>
        </w:rPr>
        <w:t>or we may</w:t>
      </w:r>
      <w:r w:rsidRPr="00D44D83">
        <w:rPr>
          <w:i/>
        </w:rPr>
        <w:t xml:space="preserve"> not be able to progress your application any further.</w:t>
      </w:r>
    </w:p>
    <w:p w:rsidR="00D44D83" w:rsidRDefault="00D44D83" w:rsidP="00BC061C">
      <w:pPr>
        <w:pStyle w:val="ListParagraph"/>
        <w:numPr>
          <w:ilvl w:val="0"/>
          <w:numId w:val="20"/>
        </w:numPr>
        <w:jc w:val="left"/>
      </w:pPr>
      <w:r>
        <w:t>Visits</w:t>
      </w:r>
    </w:p>
    <w:p w:rsidR="00D44D83" w:rsidRDefault="00D44D83" w:rsidP="00BC061C">
      <w:pPr>
        <w:ind w:left="360"/>
        <w:jc w:val="left"/>
      </w:pPr>
      <w:r>
        <w:t>Once payment is received we will contact you to let you know which properties we would like to visit and at that stage we will need to see associated documentation as outlined in the standard. You will have 14 calendar days from the request of the documentation to provide it to us.</w:t>
      </w:r>
    </w:p>
    <w:p w:rsidR="00DC6900" w:rsidRDefault="00DC6900" w:rsidP="00BC061C">
      <w:pPr>
        <w:ind w:left="360"/>
        <w:jc w:val="left"/>
      </w:pPr>
      <w:r>
        <w:t>Once we have received satisfactory documentation we will work with you to plan a mutually agreeable time to visit.</w:t>
      </w:r>
    </w:p>
    <w:p w:rsidR="00DC6900" w:rsidRDefault="00DC6900" w:rsidP="00BC061C">
      <w:pPr>
        <w:ind w:firstLine="360"/>
        <w:jc w:val="left"/>
      </w:pPr>
      <w:r>
        <w:t>Please note, we will not be carrying out</w:t>
      </w:r>
      <w:r w:rsidR="00460B27">
        <w:t xml:space="preserve"> any initial visits after the </w:t>
      </w:r>
      <w:r w:rsidR="00CA11CA">
        <w:t>19</w:t>
      </w:r>
      <w:r w:rsidR="00CA11CA" w:rsidRPr="00CA11CA">
        <w:rPr>
          <w:vertAlign w:val="superscript"/>
        </w:rPr>
        <w:t>th</w:t>
      </w:r>
      <w:r w:rsidR="00CA11CA">
        <w:t xml:space="preserve"> </w:t>
      </w:r>
      <w:r>
        <w:t>July.</w:t>
      </w:r>
    </w:p>
    <w:p w:rsidR="00DC6900" w:rsidRDefault="00DC6900" w:rsidP="00BC061C">
      <w:pPr>
        <w:ind w:left="360"/>
        <w:jc w:val="left"/>
        <w:rPr>
          <w:i/>
          <w:sz w:val="28"/>
          <w:szCs w:val="28"/>
        </w:rPr>
      </w:pPr>
      <w:r w:rsidRPr="00DC6900">
        <w:rPr>
          <w:i/>
        </w:rPr>
        <w:t>If we have not been able to make our initial visits by this date, you will have been unsuccessful with your application.</w:t>
      </w:r>
    </w:p>
    <w:p w:rsidR="00DC6900" w:rsidRDefault="00DC6900" w:rsidP="00BC061C">
      <w:pPr>
        <w:pStyle w:val="ListParagraph"/>
        <w:numPr>
          <w:ilvl w:val="0"/>
          <w:numId w:val="20"/>
        </w:numPr>
        <w:jc w:val="left"/>
      </w:pPr>
      <w:r>
        <w:t>Remedial works</w:t>
      </w:r>
    </w:p>
    <w:p w:rsidR="00DC6900" w:rsidRDefault="00DC6900" w:rsidP="00BC061C">
      <w:pPr>
        <w:ind w:left="360"/>
        <w:jc w:val="left"/>
      </w:pPr>
      <w:r>
        <w:t>Any remedial works highlighted following the visits will need to be completed within 28 calendar days after which time we will make a second visit to the property.</w:t>
      </w:r>
    </w:p>
    <w:p w:rsidR="00CA11CA" w:rsidRDefault="00DC6900" w:rsidP="00BC061C">
      <w:pPr>
        <w:ind w:left="360"/>
        <w:jc w:val="left"/>
      </w:pPr>
      <w:r>
        <w:t xml:space="preserve">If works have not been completed satisfactorily at this stage, you will have a further 14 </w:t>
      </w:r>
      <w:r w:rsidR="00BC061C">
        <w:t xml:space="preserve">calendar </w:t>
      </w:r>
      <w:r>
        <w:t>days to rectify any issues before we make a final third visit.</w:t>
      </w:r>
    </w:p>
    <w:p w:rsidR="00BC061C" w:rsidRDefault="00CA11CA" w:rsidP="00BC061C">
      <w:pPr>
        <w:ind w:left="360"/>
        <w:jc w:val="left"/>
      </w:pPr>
      <w:r>
        <w:t xml:space="preserve"> Any properties requiring a third visit will be charged at £50 </w:t>
      </w:r>
      <w:proofErr w:type="spellStart"/>
      <w:r w:rsidR="00AB7DE0">
        <w:t>inc.</w:t>
      </w:r>
      <w:proofErr w:type="spellEnd"/>
      <w:r w:rsidR="00AB7DE0">
        <w:t xml:space="preserve"> VAT </w:t>
      </w:r>
      <w:r>
        <w:t>per property and this will need to be paid within the 14 days stated otherwise your application will be unsuccessful.</w:t>
      </w:r>
      <w:bookmarkStart w:id="0" w:name="_GoBack"/>
      <w:bookmarkEnd w:id="0"/>
    </w:p>
    <w:p w:rsidR="00BC061C" w:rsidRDefault="00BC061C" w:rsidP="00BC061C">
      <w:pPr>
        <w:ind w:left="360"/>
        <w:jc w:val="left"/>
      </w:pPr>
      <w:r>
        <w:t>If following the third visit these issues have not been rectified, you will have been unsuccessful in your accreditation application.</w:t>
      </w:r>
    </w:p>
    <w:p w:rsidR="00BC061C" w:rsidRDefault="00BC061C" w:rsidP="00BC061C">
      <w:pPr>
        <w:jc w:val="left"/>
      </w:pPr>
    </w:p>
    <w:p w:rsidR="00356654" w:rsidRPr="00CA11CA" w:rsidRDefault="00BC061C" w:rsidP="00CA11CA">
      <w:pPr>
        <w:jc w:val="left"/>
        <w:rPr>
          <w:b/>
        </w:rPr>
      </w:pPr>
      <w:r w:rsidRPr="00CA11CA">
        <w:rPr>
          <w:b/>
        </w:rPr>
        <w:t xml:space="preserve">The timings outlined above are non-negotiable. </w:t>
      </w:r>
      <w:r w:rsidR="00E363F4" w:rsidRPr="00CA11CA">
        <w:rPr>
          <w:b/>
          <w:i/>
          <w:sz w:val="28"/>
          <w:szCs w:val="28"/>
        </w:rPr>
        <w:br w:type="page"/>
      </w:r>
      <w:r w:rsidR="00E405F2">
        <w:rPr>
          <w:i/>
          <w:sz w:val="28"/>
          <w:szCs w:val="28"/>
        </w:rPr>
        <w:lastRenderedPageBreak/>
        <w:t>Registration Form</w:t>
      </w:r>
    </w:p>
    <w:tbl>
      <w:tblPr>
        <w:tblStyle w:val="TableGrid"/>
        <w:tblW w:w="9460" w:type="dxa"/>
        <w:tblLook w:val="04A0" w:firstRow="1" w:lastRow="0" w:firstColumn="1" w:lastColumn="0" w:noHBand="0" w:noVBand="1"/>
      </w:tblPr>
      <w:tblGrid>
        <w:gridCol w:w="4073"/>
        <w:gridCol w:w="5387"/>
      </w:tblGrid>
      <w:tr w:rsidR="00EA5CE3" w:rsidTr="00752C34">
        <w:trPr>
          <w:trHeight w:val="1063"/>
        </w:trPr>
        <w:tc>
          <w:tcPr>
            <w:tcW w:w="4073" w:type="dxa"/>
            <w:shd w:val="clear" w:color="auto" w:fill="BFBFBF" w:themeFill="background1" w:themeFillShade="BF"/>
            <w:vAlign w:val="center"/>
          </w:tcPr>
          <w:p w:rsidR="005300F9" w:rsidRDefault="005300F9" w:rsidP="005300F9">
            <w:pPr>
              <w:jc w:val="center"/>
              <w:rPr>
                <w:b/>
              </w:rPr>
            </w:pPr>
          </w:p>
          <w:p w:rsidR="00EA5CE3" w:rsidRPr="005300F9" w:rsidRDefault="00DF6EA4" w:rsidP="005300F9">
            <w:pPr>
              <w:jc w:val="center"/>
              <w:rPr>
                <w:b/>
              </w:rPr>
            </w:pPr>
            <w:r w:rsidRPr="005300F9">
              <w:rPr>
                <w:b/>
              </w:rPr>
              <w:t>Organisation</w:t>
            </w:r>
            <w:r w:rsidR="00EA5CE3" w:rsidRPr="005300F9">
              <w:rPr>
                <w:b/>
              </w:rPr>
              <w:t xml:space="preserve"> Name</w:t>
            </w:r>
          </w:p>
          <w:p w:rsidR="00DF6EA4" w:rsidRPr="005300F9" w:rsidRDefault="00DF6EA4" w:rsidP="005300F9">
            <w:pPr>
              <w:jc w:val="center"/>
              <w:rPr>
                <w:b/>
              </w:rPr>
            </w:pPr>
          </w:p>
          <w:p w:rsidR="00DF6EA4" w:rsidRPr="005300F9" w:rsidRDefault="00DF6EA4" w:rsidP="005300F9">
            <w:pPr>
              <w:jc w:val="center"/>
              <w:rPr>
                <w:b/>
              </w:rPr>
            </w:pPr>
          </w:p>
        </w:tc>
        <w:tc>
          <w:tcPr>
            <w:tcW w:w="5387" w:type="dxa"/>
          </w:tcPr>
          <w:p w:rsidR="00EA5CE3" w:rsidRDefault="00EA5CE3" w:rsidP="00047BCF">
            <w:pPr>
              <w:rPr>
                <w:i/>
                <w:sz w:val="28"/>
                <w:szCs w:val="28"/>
              </w:rPr>
            </w:pPr>
          </w:p>
        </w:tc>
      </w:tr>
      <w:tr w:rsidR="00EA5CE3" w:rsidTr="00752C34">
        <w:trPr>
          <w:trHeight w:val="1078"/>
        </w:trPr>
        <w:tc>
          <w:tcPr>
            <w:tcW w:w="4073" w:type="dxa"/>
            <w:shd w:val="clear" w:color="auto" w:fill="BFBFBF" w:themeFill="background1" w:themeFillShade="BF"/>
            <w:vAlign w:val="center"/>
          </w:tcPr>
          <w:p w:rsidR="005300F9" w:rsidRDefault="005300F9" w:rsidP="005300F9">
            <w:pPr>
              <w:jc w:val="center"/>
              <w:rPr>
                <w:b/>
              </w:rPr>
            </w:pPr>
          </w:p>
          <w:p w:rsidR="00EA5CE3" w:rsidRPr="005300F9" w:rsidRDefault="00DF6EA4" w:rsidP="005300F9">
            <w:pPr>
              <w:jc w:val="center"/>
              <w:rPr>
                <w:b/>
              </w:rPr>
            </w:pPr>
            <w:r w:rsidRPr="005300F9">
              <w:rPr>
                <w:b/>
              </w:rPr>
              <w:t>Contact</w:t>
            </w:r>
            <w:r w:rsidR="00EA5CE3" w:rsidRPr="005300F9">
              <w:rPr>
                <w:b/>
              </w:rPr>
              <w:t xml:space="preserve"> Name</w:t>
            </w:r>
          </w:p>
          <w:p w:rsidR="00DF6EA4" w:rsidRPr="005300F9" w:rsidRDefault="00DF6EA4" w:rsidP="005300F9">
            <w:pPr>
              <w:jc w:val="center"/>
              <w:rPr>
                <w:b/>
              </w:rPr>
            </w:pPr>
          </w:p>
          <w:p w:rsidR="00DF6EA4" w:rsidRPr="005300F9" w:rsidRDefault="00DF6EA4" w:rsidP="005300F9">
            <w:pPr>
              <w:jc w:val="center"/>
              <w:rPr>
                <w:b/>
              </w:rPr>
            </w:pPr>
          </w:p>
        </w:tc>
        <w:tc>
          <w:tcPr>
            <w:tcW w:w="5387" w:type="dxa"/>
          </w:tcPr>
          <w:p w:rsidR="00EA5CE3" w:rsidRDefault="00EA5CE3" w:rsidP="00047BCF">
            <w:pPr>
              <w:rPr>
                <w:i/>
                <w:sz w:val="28"/>
                <w:szCs w:val="28"/>
              </w:rPr>
            </w:pPr>
          </w:p>
        </w:tc>
      </w:tr>
      <w:tr w:rsidR="00EA5CE3" w:rsidTr="00752C34">
        <w:trPr>
          <w:trHeight w:val="1063"/>
        </w:trPr>
        <w:tc>
          <w:tcPr>
            <w:tcW w:w="4073" w:type="dxa"/>
            <w:shd w:val="clear" w:color="auto" w:fill="BFBFBF" w:themeFill="background1" w:themeFillShade="BF"/>
            <w:vAlign w:val="center"/>
          </w:tcPr>
          <w:p w:rsidR="005300F9" w:rsidRDefault="005300F9" w:rsidP="005300F9">
            <w:pPr>
              <w:jc w:val="center"/>
              <w:rPr>
                <w:b/>
              </w:rPr>
            </w:pPr>
          </w:p>
          <w:p w:rsidR="00EA5CE3" w:rsidRPr="005300F9" w:rsidRDefault="005300F9" w:rsidP="005300F9">
            <w:pPr>
              <w:jc w:val="center"/>
              <w:rPr>
                <w:b/>
              </w:rPr>
            </w:pPr>
            <w:r w:rsidRPr="005300F9">
              <w:rPr>
                <w:b/>
              </w:rPr>
              <w:t>Address</w:t>
            </w:r>
          </w:p>
          <w:p w:rsidR="00DF6EA4" w:rsidRPr="005300F9" w:rsidRDefault="00DF6EA4" w:rsidP="005300F9">
            <w:pPr>
              <w:jc w:val="center"/>
              <w:rPr>
                <w:b/>
              </w:rPr>
            </w:pPr>
          </w:p>
          <w:p w:rsidR="00DF6EA4" w:rsidRPr="005300F9" w:rsidRDefault="00DF6EA4" w:rsidP="005300F9">
            <w:pPr>
              <w:jc w:val="center"/>
              <w:rPr>
                <w:b/>
              </w:rPr>
            </w:pPr>
          </w:p>
        </w:tc>
        <w:tc>
          <w:tcPr>
            <w:tcW w:w="5387" w:type="dxa"/>
          </w:tcPr>
          <w:p w:rsidR="00EA5CE3" w:rsidRDefault="00EA5CE3" w:rsidP="00047BCF">
            <w:pPr>
              <w:rPr>
                <w:i/>
                <w:sz w:val="28"/>
                <w:szCs w:val="28"/>
              </w:rPr>
            </w:pPr>
          </w:p>
        </w:tc>
      </w:tr>
      <w:tr w:rsidR="00EA5CE3" w:rsidTr="00752C34">
        <w:trPr>
          <w:trHeight w:val="1063"/>
        </w:trPr>
        <w:tc>
          <w:tcPr>
            <w:tcW w:w="4073" w:type="dxa"/>
            <w:shd w:val="clear" w:color="auto" w:fill="BFBFBF" w:themeFill="background1" w:themeFillShade="BF"/>
            <w:vAlign w:val="center"/>
          </w:tcPr>
          <w:p w:rsidR="005300F9" w:rsidRDefault="005300F9" w:rsidP="005300F9">
            <w:pPr>
              <w:jc w:val="center"/>
              <w:rPr>
                <w:b/>
              </w:rPr>
            </w:pPr>
          </w:p>
          <w:p w:rsidR="00EA5CE3" w:rsidRPr="005300F9" w:rsidRDefault="005300F9" w:rsidP="005300F9">
            <w:pPr>
              <w:jc w:val="center"/>
              <w:rPr>
                <w:b/>
              </w:rPr>
            </w:pPr>
            <w:r w:rsidRPr="005300F9">
              <w:rPr>
                <w:b/>
              </w:rPr>
              <w:t>Telephone</w:t>
            </w:r>
          </w:p>
          <w:p w:rsidR="00DF6EA4" w:rsidRPr="005300F9" w:rsidRDefault="00DF6EA4" w:rsidP="005300F9">
            <w:pPr>
              <w:jc w:val="center"/>
              <w:rPr>
                <w:b/>
              </w:rPr>
            </w:pPr>
          </w:p>
          <w:p w:rsidR="00DF6EA4" w:rsidRPr="005300F9" w:rsidRDefault="00DF6EA4" w:rsidP="005300F9">
            <w:pPr>
              <w:jc w:val="center"/>
              <w:rPr>
                <w:b/>
              </w:rPr>
            </w:pPr>
          </w:p>
        </w:tc>
        <w:tc>
          <w:tcPr>
            <w:tcW w:w="5387" w:type="dxa"/>
          </w:tcPr>
          <w:p w:rsidR="00EA5CE3" w:rsidRDefault="00EA5CE3" w:rsidP="00047BCF">
            <w:pPr>
              <w:rPr>
                <w:i/>
                <w:sz w:val="28"/>
                <w:szCs w:val="28"/>
              </w:rPr>
            </w:pPr>
          </w:p>
        </w:tc>
      </w:tr>
      <w:tr w:rsidR="00EA5CE3" w:rsidTr="00752C34">
        <w:trPr>
          <w:trHeight w:val="1063"/>
        </w:trPr>
        <w:tc>
          <w:tcPr>
            <w:tcW w:w="4073" w:type="dxa"/>
            <w:shd w:val="clear" w:color="auto" w:fill="BFBFBF" w:themeFill="background1" w:themeFillShade="BF"/>
            <w:vAlign w:val="center"/>
          </w:tcPr>
          <w:p w:rsidR="005300F9" w:rsidRDefault="005300F9" w:rsidP="005300F9">
            <w:pPr>
              <w:jc w:val="center"/>
              <w:rPr>
                <w:b/>
              </w:rPr>
            </w:pPr>
          </w:p>
          <w:p w:rsidR="00EA5CE3" w:rsidRPr="005300F9" w:rsidRDefault="005300F9" w:rsidP="005300F9">
            <w:pPr>
              <w:jc w:val="center"/>
              <w:rPr>
                <w:b/>
              </w:rPr>
            </w:pPr>
            <w:r w:rsidRPr="005300F9">
              <w:rPr>
                <w:b/>
              </w:rPr>
              <w:t>Email</w:t>
            </w:r>
          </w:p>
          <w:p w:rsidR="00DF6EA4" w:rsidRPr="005300F9" w:rsidRDefault="00DF6EA4" w:rsidP="005300F9">
            <w:pPr>
              <w:jc w:val="center"/>
              <w:rPr>
                <w:b/>
              </w:rPr>
            </w:pPr>
          </w:p>
          <w:p w:rsidR="00DF6EA4" w:rsidRPr="005300F9" w:rsidRDefault="00DF6EA4" w:rsidP="005300F9">
            <w:pPr>
              <w:jc w:val="center"/>
              <w:rPr>
                <w:b/>
              </w:rPr>
            </w:pPr>
          </w:p>
        </w:tc>
        <w:tc>
          <w:tcPr>
            <w:tcW w:w="5387" w:type="dxa"/>
          </w:tcPr>
          <w:p w:rsidR="00EA5CE3" w:rsidRDefault="00EA5CE3" w:rsidP="00047BCF">
            <w:pPr>
              <w:rPr>
                <w:i/>
                <w:sz w:val="28"/>
                <w:szCs w:val="28"/>
              </w:rPr>
            </w:pPr>
          </w:p>
        </w:tc>
      </w:tr>
      <w:tr w:rsidR="00EA5CE3" w:rsidTr="00752C34">
        <w:trPr>
          <w:trHeight w:val="1078"/>
        </w:trPr>
        <w:tc>
          <w:tcPr>
            <w:tcW w:w="4073" w:type="dxa"/>
            <w:shd w:val="clear" w:color="auto" w:fill="BFBFBF" w:themeFill="background1" w:themeFillShade="BF"/>
            <w:vAlign w:val="center"/>
          </w:tcPr>
          <w:p w:rsidR="005300F9" w:rsidRDefault="005300F9" w:rsidP="005300F9">
            <w:pPr>
              <w:jc w:val="center"/>
              <w:rPr>
                <w:b/>
              </w:rPr>
            </w:pPr>
          </w:p>
          <w:p w:rsidR="00EA5CE3" w:rsidRPr="005300F9" w:rsidRDefault="00EA5CE3" w:rsidP="005300F9">
            <w:pPr>
              <w:jc w:val="center"/>
              <w:rPr>
                <w:b/>
              </w:rPr>
            </w:pPr>
            <w:r w:rsidRPr="005300F9">
              <w:rPr>
                <w:b/>
              </w:rPr>
              <w:t xml:space="preserve">Number of </w:t>
            </w:r>
            <w:r w:rsidR="00DF6EA4" w:rsidRPr="005300F9">
              <w:rPr>
                <w:b/>
              </w:rPr>
              <w:t>p</w:t>
            </w:r>
            <w:r w:rsidRPr="005300F9">
              <w:rPr>
                <w:b/>
              </w:rPr>
              <w:t>roperties</w:t>
            </w:r>
            <w:r w:rsidR="00DF6EA4" w:rsidRPr="005300F9">
              <w:rPr>
                <w:b/>
              </w:rPr>
              <w:t xml:space="preserve"> (owned)</w:t>
            </w:r>
          </w:p>
          <w:p w:rsidR="00DF6EA4" w:rsidRPr="005300F9" w:rsidRDefault="00DF6EA4" w:rsidP="005300F9">
            <w:pPr>
              <w:jc w:val="center"/>
              <w:rPr>
                <w:b/>
              </w:rPr>
            </w:pPr>
          </w:p>
          <w:p w:rsidR="00DF6EA4" w:rsidRPr="005300F9" w:rsidRDefault="00DF6EA4" w:rsidP="005300F9">
            <w:pPr>
              <w:jc w:val="center"/>
              <w:rPr>
                <w:b/>
              </w:rPr>
            </w:pPr>
          </w:p>
        </w:tc>
        <w:tc>
          <w:tcPr>
            <w:tcW w:w="5387" w:type="dxa"/>
          </w:tcPr>
          <w:p w:rsidR="00EA5CE3" w:rsidRDefault="00EA5CE3" w:rsidP="00047BCF">
            <w:pPr>
              <w:rPr>
                <w:i/>
                <w:sz w:val="28"/>
                <w:szCs w:val="28"/>
              </w:rPr>
            </w:pPr>
          </w:p>
        </w:tc>
      </w:tr>
      <w:tr w:rsidR="00EA5CE3" w:rsidTr="00752C34">
        <w:trPr>
          <w:trHeight w:val="1063"/>
        </w:trPr>
        <w:tc>
          <w:tcPr>
            <w:tcW w:w="4073" w:type="dxa"/>
            <w:shd w:val="clear" w:color="auto" w:fill="BFBFBF" w:themeFill="background1" w:themeFillShade="BF"/>
            <w:vAlign w:val="center"/>
          </w:tcPr>
          <w:p w:rsidR="005300F9" w:rsidRDefault="005300F9" w:rsidP="005300F9">
            <w:pPr>
              <w:jc w:val="center"/>
              <w:rPr>
                <w:b/>
              </w:rPr>
            </w:pPr>
          </w:p>
          <w:p w:rsidR="00EA5CE3" w:rsidRPr="005300F9" w:rsidRDefault="00DF6EA4" w:rsidP="005300F9">
            <w:pPr>
              <w:jc w:val="center"/>
              <w:rPr>
                <w:b/>
              </w:rPr>
            </w:pPr>
            <w:r w:rsidRPr="005300F9">
              <w:rPr>
                <w:b/>
              </w:rPr>
              <w:t>Number of bed s</w:t>
            </w:r>
            <w:r w:rsidR="00EA5CE3" w:rsidRPr="005300F9">
              <w:rPr>
                <w:b/>
              </w:rPr>
              <w:t>paces</w:t>
            </w:r>
            <w:r w:rsidRPr="005300F9">
              <w:rPr>
                <w:b/>
              </w:rPr>
              <w:t xml:space="preserve"> (owned)</w:t>
            </w:r>
          </w:p>
          <w:p w:rsidR="00DF6EA4" w:rsidRPr="005300F9" w:rsidRDefault="00DF6EA4" w:rsidP="005300F9">
            <w:pPr>
              <w:jc w:val="center"/>
              <w:rPr>
                <w:b/>
              </w:rPr>
            </w:pPr>
          </w:p>
          <w:p w:rsidR="00DF6EA4" w:rsidRPr="005300F9" w:rsidRDefault="00DF6EA4" w:rsidP="005300F9">
            <w:pPr>
              <w:jc w:val="center"/>
              <w:rPr>
                <w:b/>
              </w:rPr>
            </w:pPr>
          </w:p>
        </w:tc>
        <w:tc>
          <w:tcPr>
            <w:tcW w:w="5387" w:type="dxa"/>
          </w:tcPr>
          <w:p w:rsidR="00EA5CE3" w:rsidRDefault="00EA5CE3" w:rsidP="00047BCF">
            <w:pPr>
              <w:rPr>
                <w:i/>
                <w:sz w:val="28"/>
                <w:szCs w:val="28"/>
              </w:rPr>
            </w:pPr>
          </w:p>
        </w:tc>
      </w:tr>
      <w:tr w:rsidR="00EA5CE3" w:rsidTr="00752C34">
        <w:trPr>
          <w:trHeight w:val="1018"/>
        </w:trPr>
        <w:tc>
          <w:tcPr>
            <w:tcW w:w="4073" w:type="dxa"/>
            <w:shd w:val="clear" w:color="auto" w:fill="BFBFBF" w:themeFill="background1" w:themeFillShade="BF"/>
            <w:vAlign w:val="center"/>
          </w:tcPr>
          <w:p w:rsidR="005300F9" w:rsidRDefault="005300F9" w:rsidP="005300F9">
            <w:pPr>
              <w:jc w:val="center"/>
              <w:rPr>
                <w:b/>
              </w:rPr>
            </w:pPr>
          </w:p>
          <w:p w:rsidR="00EA5CE3" w:rsidRPr="005300F9" w:rsidRDefault="00DF6EA4" w:rsidP="005300F9">
            <w:pPr>
              <w:jc w:val="center"/>
              <w:rPr>
                <w:b/>
              </w:rPr>
            </w:pPr>
            <w:r w:rsidRPr="005300F9">
              <w:rPr>
                <w:b/>
              </w:rPr>
              <w:t>Number of properties (managed)</w:t>
            </w:r>
          </w:p>
          <w:p w:rsidR="00DF6EA4" w:rsidRPr="005300F9" w:rsidRDefault="00DF6EA4" w:rsidP="005300F9">
            <w:pPr>
              <w:jc w:val="center"/>
              <w:rPr>
                <w:b/>
              </w:rPr>
            </w:pPr>
          </w:p>
        </w:tc>
        <w:tc>
          <w:tcPr>
            <w:tcW w:w="5387" w:type="dxa"/>
          </w:tcPr>
          <w:p w:rsidR="00EA5CE3" w:rsidRDefault="00EA5CE3" w:rsidP="00047BCF">
            <w:pPr>
              <w:rPr>
                <w:i/>
                <w:sz w:val="28"/>
                <w:szCs w:val="28"/>
              </w:rPr>
            </w:pPr>
          </w:p>
          <w:p w:rsidR="005300F9" w:rsidRDefault="005300F9" w:rsidP="00047BCF">
            <w:pPr>
              <w:rPr>
                <w:i/>
                <w:sz w:val="28"/>
                <w:szCs w:val="28"/>
              </w:rPr>
            </w:pPr>
          </w:p>
          <w:p w:rsidR="005300F9" w:rsidRDefault="005300F9" w:rsidP="00047BCF">
            <w:pPr>
              <w:rPr>
                <w:i/>
                <w:sz w:val="28"/>
                <w:szCs w:val="28"/>
              </w:rPr>
            </w:pPr>
          </w:p>
        </w:tc>
      </w:tr>
      <w:tr w:rsidR="00196C13" w:rsidTr="00752C34">
        <w:trPr>
          <w:trHeight w:val="1018"/>
        </w:trPr>
        <w:tc>
          <w:tcPr>
            <w:tcW w:w="4073" w:type="dxa"/>
            <w:shd w:val="clear" w:color="auto" w:fill="BFBFBF" w:themeFill="background1" w:themeFillShade="BF"/>
            <w:vAlign w:val="center"/>
          </w:tcPr>
          <w:p w:rsidR="00196C13" w:rsidRDefault="00196C13" w:rsidP="005300F9">
            <w:pPr>
              <w:jc w:val="center"/>
              <w:rPr>
                <w:b/>
              </w:rPr>
            </w:pPr>
            <w:r>
              <w:rPr>
                <w:b/>
              </w:rPr>
              <w:t>Number of bed spaces (managed)</w:t>
            </w:r>
          </w:p>
        </w:tc>
        <w:tc>
          <w:tcPr>
            <w:tcW w:w="5387" w:type="dxa"/>
          </w:tcPr>
          <w:p w:rsidR="00196C13" w:rsidRDefault="00196C13" w:rsidP="00047BCF">
            <w:pPr>
              <w:rPr>
                <w:i/>
                <w:sz w:val="28"/>
                <w:szCs w:val="28"/>
              </w:rPr>
            </w:pPr>
          </w:p>
        </w:tc>
      </w:tr>
      <w:tr w:rsidR="00DF6EA4" w:rsidTr="00752C34">
        <w:trPr>
          <w:trHeight w:val="1018"/>
        </w:trPr>
        <w:tc>
          <w:tcPr>
            <w:tcW w:w="4073" w:type="dxa"/>
            <w:shd w:val="clear" w:color="auto" w:fill="BFBFBF" w:themeFill="background1" w:themeFillShade="BF"/>
            <w:vAlign w:val="center"/>
          </w:tcPr>
          <w:p w:rsidR="005300F9" w:rsidRDefault="005300F9" w:rsidP="005300F9">
            <w:pPr>
              <w:jc w:val="center"/>
              <w:rPr>
                <w:b/>
              </w:rPr>
            </w:pPr>
          </w:p>
          <w:p w:rsidR="00DF6EA4" w:rsidRPr="005300F9" w:rsidRDefault="00196C13" w:rsidP="00196C13">
            <w:pPr>
              <w:jc w:val="center"/>
              <w:rPr>
                <w:b/>
              </w:rPr>
            </w:pPr>
            <w:r>
              <w:rPr>
                <w:b/>
              </w:rPr>
              <w:t>How many properties with 5 beds +?</w:t>
            </w:r>
          </w:p>
        </w:tc>
        <w:tc>
          <w:tcPr>
            <w:tcW w:w="5387" w:type="dxa"/>
          </w:tcPr>
          <w:p w:rsidR="00DF6EA4" w:rsidRDefault="00DF6EA4" w:rsidP="00047BCF">
            <w:pPr>
              <w:rPr>
                <w:i/>
                <w:sz w:val="28"/>
                <w:szCs w:val="28"/>
              </w:rPr>
            </w:pPr>
          </w:p>
          <w:p w:rsidR="005300F9" w:rsidRDefault="005300F9" w:rsidP="00047BCF">
            <w:pPr>
              <w:rPr>
                <w:i/>
                <w:sz w:val="28"/>
                <w:szCs w:val="28"/>
              </w:rPr>
            </w:pPr>
          </w:p>
          <w:p w:rsidR="005300F9" w:rsidRDefault="005300F9" w:rsidP="00047BCF">
            <w:pPr>
              <w:rPr>
                <w:i/>
                <w:sz w:val="28"/>
                <w:szCs w:val="28"/>
              </w:rPr>
            </w:pPr>
          </w:p>
        </w:tc>
      </w:tr>
      <w:tr w:rsidR="00DF6EA4" w:rsidTr="00752C34">
        <w:trPr>
          <w:trHeight w:val="1018"/>
        </w:trPr>
        <w:tc>
          <w:tcPr>
            <w:tcW w:w="4073" w:type="dxa"/>
            <w:shd w:val="clear" w:color="auto" w:fill="BFBFBF" w:themeFill="background1" w:themeFillShade="BF"/>
            <w:vAlign w:val="center"/>
          </w:tcPr>
          <w:p w:rsidR="005300F9" w:rsidRDefault="005300F9" w:rsidP="005300F9">
            <w:pPr>
              <w:jc w:val="center"/>
              <w:rPr>
                <w:b/>
              </w:rPr>
            </w:pPr>
          </w:p>
          <w:p w:rsidR="00DF6EA4" w:rsidRPr="005300F9" w:rsidRDefault="00DF6EA4" w:rsidP="005300F9">
            <w:pPr>
              <w:jc w:val="center"/>
              <w:rPr>
                <w:b/>
              </w:rPr>
            </w:pPr>
            <w:r w:rsidRPr="005300F9">
              <w:rPr>
                <w:b/>
              </w:rPr>
              <w:t>Any properties over 15 beds?</w:t>
            </w:r>
          </w:p>
          <w:p w:rsidR="00DF6EA4" w:rsidRPr="005300F9" w:rsidRDefault="00DF6EA4" w:rsidP="005300F9">
            <w:pPr>
              <w:jc w:val="center"/>
              <w:rPr>
                <w:b/>
              </w:rPr>
            </w:pPr>
          </w:p>
        </w:tc>
        <w:tc>
          <w:tcPr>
            <w:tcW w:w="5387" w:type="dxa"/>
          </w:tcPr>
          <w:p w:rsidR="00DF6EA4" w:rsidRDefault="00DF6EA4" w:rsidP="00047BCF">
            <w:pPr>
              <w:rPr>
                <w:i/>
                <w:sz w:val="28"/>
                <w:szCs w:val="28"/>
              </w:rPr>
            </w:pPr>
          </w:p>
          <w:p w:rsidR="005300F9" w:rsidRDefault="005300F9" w:rsidP="00047BCF">
            <w:pPr>
              <w:rPr>
                <w:i/>
                <w:sz w:val="28"/>
                <w:szCs w:val="28"/>
              </w:rPr>
            </w:pPr>
          </w:p>
          <w:p w:rsidR="005300F9" w:rsidRDefault="005300F9" w:rsidP="00047BCF">
            <w:pPr>
              <w:rPr>
                <w:i/>
                <w:sz w:val="28"/>
                <w:szCs w:val="28"/>
              </w:rPr>
            </w:pPr>
          </w:p>
        </w:tc>
      </w:tr>
      <w:tr w:rsidR="00DF6EA4" w:rsidTr="00752C34">
        <w:trPr>
          <w:trHeight w:val="1018"/>
        </w:trPr>
        <w:tc>
          <w:tcPr>
            <w:tcW w:w="4073" w:type="dxa"/>
            <w:shd w:val="clear" w:color="auto" w:fill="BFBFBF" w:themeFill="background1" w:themeFillShade="BF"/>
            <w:vAlign w:val="center"/>
          </w:tcPr>
          <w:p w:rsidR="005300F9" w:rsidRDefault="005300F9" w:rsidP="005300F9">
            <w:pPr>
              <w:jc w:val="center"/>
              <w:rPr>
                <w:b/>
              </w:rPr>
            </w:pPr>
          </w:p>
          <w:p w:rsidR="00DF6EA4" w:rsidRPr="005300F9" w:rsidRDefault="005300F9" w:rsidP="005300F9">
            <w:pPr>
              <w:jc w:val="center"/>
              <w:rPr>
                <w:b/>
              </w:rPr>
            </w:pPr>
            <w:r w:rsidRPr="005300F9">
              <w:rPr>
                <w:b/>
              </w:rPr>
              <w:t>Tenancy Deposit Scheme details</w:t>
            </w:r>
          </w:p>
          <w:p w:rsidR="00DF6EA4" w:rsidRPr="005300F9" w:rsidRDefault="00DF6EA4" w:rsidP="005300F9">
            <w:pPr>
              <w:jc w:val="center"/>
              <w:rPr>
                <w:b/>
              </w:rPr>
            </w:pPr>
          </w:p>
        </w:tc>
        <w:tc>
          <w:tcPr>
            <w:tcW w:w="5387" w:type="dxa"/>
          </w:tcPr>
          <w:p w:rsidR="00DF6EA4" w:rsidRDefault="00DF6EA4" w:rsidP="00047BCF">
            <w:pPr>
              <w:rPr>
                <w:i/>
                <w:sz w:val="28"/>
                <w:szCs w:val="28"/>
              </w:rPr>
            </w:pPr>
          </w:p>
          <w:p w:rsidR="005300F9" w:rsidRDefault="005300F9" w:rsidP="00047BCF">
            <w:pPr>
              <w:rPr>
                <w:i/>
                <w:sz w:val="28"/>
                <w:szCs w:val="28"/>
              </w:rPr>
            </w:pPr>
          </w:p>
          <w:p w:rsidR="005300F9" w:rsidRDefault="005300F9" w:rsidP="00047BCF">
            <w:pPr>
              <w:rPr>
                <w:i/>
                <w:sz w:val="28"/>
                <w:szCs w:val="28"/>
              </w:rPr>
            </w:pPr>
          </w:p>
        </w:tc>
      </w:tr>
    </w:tbl>
    <w:p w:rsidR="001332FE" w:rsidRDefault="001332FE" w:rsidP="00AB0DBF">
      <w:pPr>
        <w:rPr>
          <w:i/>
          <w:sz w:val="28"/>
          <w:szCs w:val="28"/>
        </w:rPr>
      </w:pPr>
    </w:p>
    <w:p w:rsidR="001332FE" w:rsidRDefault="001332FE" w:rsidP="00AB0DBF">
      <w:pPr>
        <w:rPr>
          <w:i/>
          <w:sz w:val="28"/>
          <w:szCs w:val="28"/>
        </w:rPr>
      </w:pPr>
    </w:p>
    <w:p w:rsidR="00AB0DBF" w:rsidRDefault="00AB0DBF" w:rsidP="00AB0DBF">
      <w:pPr>
        <w:rPr>
          <w:i/>
          <w:sz w:val="28"/>
          <w:szCs w:val="28"/>
        </w:rPr>
      </w:pPr>
      <w:r>
        <w:rPr>
          <w:i/>
          <w:sz w:val="28"/>
          <w:szCs w:val="28"/>
        </w:rPr>
        <w:t>Property Portfolio Form</w:t>
      </w:r>
    </w:p>
    <w:p w:rsidR="00AB0DBF" w:rsidRDefault="00AB0DBF" w:rsidP="00752C34">
      <w:r>
        <w:t>Please list below all of the residential properties that you own/ manage in the area that are solely for student accommodation purposes. If you have a large portfolio you may attach your own list with relevant details.</w:t>
      </w:r>
    </w:p>
    <w:tbl>
      <w:tblPr>
        <w:tblStyle w:val="TableGrid"/>
        <w:tblW w:w="7792" w:type="dxa"/>
        <w:tblLayout w:type="fixed"/>
        <w:tblLook w:val="04A0" w:firstRow="1" w:lastRow="0" w:firstColumn="1" w:lastColumn="0" w:noHBand="0" w:noVBand="1"/>
      </w:tblPr>
      <w:tblGrid>
        <w:gridCol w:w="605"/>
        <w:gridCol w:w="3218"/>
        <w:gridCol w:w="1559"/>
        <w:gridCol w:w="1134"/>
        <w:gridCol w:w="1276"/>
      </w:tblGrid>
      <w:tr w:rsidR="00BC061C" w:rsidTr="00BC061C">
        <w:tc>
          <w:tcPr>
            <w:tcW w:w="605" w:type="dxa"/>
            <w:tcBorders>
              <w:top w:val="nil"/>
              <w:left w:val="nil"/>
            </w:tcBorders>
          </w:tcPr>
          <w:p w:rsidR="00BC061C" w:rsidRDefault="00BC061C" w:rsidP="007C0FEB">
            <w:pPr>
              <w:jc w:val="center"/>
            </w:pPr>
          </w:p>
        </w:tc>
        <w:tc>
          <w:tcPr>
            <w:tcW w:w="3218" w:type="dxa"/>
            <w:shd w:val="clear" w:color="auto" w:fill="BFBFBF" w:themeFill="background1" w:themeFillShade="BF"/>
          </w:tcPr>
          <w:p w:rsidR="00BC061C" w:rsidRPr="00E405F2" w:rsidRDefault="00BC061C" w:rsidP="007C0FEB">
            <w:pPr>
              <w:jc w:val="center"/>
            </w:pPr>
            <w:r w:rsidRPr="00E405F2">
              <w:t>Address</w:t>
            </w:r>
          </w:p>
        </w:tc>
        <w:tc>
          <w:tcPr>
            <w:tcW w:w="1559" w:type="dxa"/>
            <w:shd w:val="clear" w:color="auto" w:fill="BFBFBF" w:themeFill="background1" w:themeFillShade="BF"/>
          </w:tcPr>
          <w:p w:rsidR="00BC061C" w:rsidRPr="00E405F2" w:rsidRDefault="00BC061C" w:rsidP="007C0FEB">
            <w:pPr>
              <w:jc w:val="center"/>
            </w:pPr>
            <w:r w:rsidRPr="00E405F2">
              <w:t>Property</w:t>
            </w:r>
          </w:p>
          <w:p w:rsidR="00BC061C" w:rsidRPr="00E405F2" w:rsidRDefault="00BC061C" w:rsidP="007C0FEB">
            <w:pPr>
              <w:jc w:val="center"/>
            </w:pPr>
            <w:r w:rsidRPr="00E405F2">
              <w:t>Type</w:t>
            </w:r>
          </w:p>
        </w:tc>
        <w:tc>
          <w:tcPr>
            <w:tcW w:w="1134" w:type="dxa"/>
            <w:shd w:val="clear" w:color="auto" w:fill="BFBFBF" w:themeFill="background1" w:themeFillShade="BF"/>
          </w:tcPr>
          <w:p w:rsidR="00BC061C" w:rsidRPr="00E405F2" w:rsidRDefault="00BC061C" w:rsidP="007C0FEB">
            <w:pPr>
              <w:jc w:val="center"/>
            </w:pPr>
            <w:r>
              <w:t xml:space="preserve">Owned/ </w:t>
            </w:r>
            <w:r w:rsidRPr="00E405F2">
              <w:rPr>
                <w:sz w:val="21"/>
                <w:szCs w:val="21"/>
              </w:rPr>
              <w:t>Managed?</w:t>
            </w:r>
          </w:p>
        </w:tc>
        <w:tc>
          <w:tcPr>
            <w:tcW w:w="1276" w:type="dxa"/>
            <w:shd w:val="clear" w:color="auto" w:fill="BFBFBF" w:themeFill="background1" w:themeFillShade="BF"/>
          </w:tcPr>
          <w:p w:rsidR="00BC061C" w:rsidRPr="00E405F2" w:rsidRDefault="00BC061C" w:rsidP="007C0FEB">
            <w:pPr>
              <w:jc w:val="center"/>
            </w:pPr>
            <w:r w:rsidRPr="00E405F2">
              <w:t>Number of Bedrooms</w:t>
            </w:r>
          </w:p>
        </w:tc>
      </w:tr>
      <w:tr w:rsidR="00BC061C" w:rsidTr="00BC061C">
        <w:tc>
          <w:tcPr>
            <w:tcW w:w="605" w:type="dxa"/>
            <w:shd w:val="clear" w:color="auto" w:fill="BFBFBF" w:themeFill="background1" w:themeFillShade="BF"/>
          </w:tcPr>
          <w:p w:rsidR="00BC061C" w:rsidRDefault="00BC061C" w:rsidP="007C0FEB">
            <w:pPr>
              <w:jc w:val="center"/>
            </w:pPr>
            <w:r>
              <w:t>1.</w:t>
            </w:r>
          </w:p>
        </w:tc>
        <w:tc>
          <w:tcPr>
            <w:tcW w:w="3218" w:type="dxa"/>
          </w:tcPr>
          <w:p w:rsidR="00BC061C" w:rsidRDefault="00BC061C" w:rsidP="007C0FEB">
            <w:pPr>
              <w:jc w:val="center"/>
            </w:pPr>
          </w:p>
          <w:p w:rsidR="00BC061C" w:rsidRDefault="00BC061C" w:rsidP="007C0FEB">
            <w:pPr>
              <w:jc w:val="center"/>
            </w:pPr>
          </w:p>
        </w:tc>
        <w:tc>
          <w:tcPr>
            <w:tcW w:w="1559" w:type="dxa"/>
          </w:tcPr>
          <w:p w:rsidR="00BC061C" w:rsidRDefault="00BC061C" w:rsidP="007C0FEB">
            <w:pPr>
              <w:jc w:val="center"/>
            </w:pPr>
          </w:p>
        </w:tc>
        <w:tc>
          <w:tcPr>
            <w:tcW w:w="1134" w:type="dxa"/>
          </w:tcPr>
          <w:p w:rsidR="00BC061C" w:rsidRDefault="00BC061C" w:rsidP="007C0FEB">
            <w:pPr>
              <w:jc w:val="center"/>
            </w:pPr>
          </w:p>
        </w:tc>
        <w:tc>
          <w:tcPr>
            <w:tcW w:w="1276" w:type="dxa"/>
          </w:tcPr>
          <w:p w:rsidR="00BC061C" w:rsidRDefault="00BC061C" w:rsidP="007C0FEB">
            <w:pPr>
              <w:jc w:val="center"/>
            </w:pPr>
          </w:p>
        </w:tc>
      </w:tr>
      <w:tr w:rsidR="00BC061C" w:rsidTr="00BC061C">
        <w:tc>
          <w:tcPr>
            <w:tcW w:w="605" w:type="dxa"/>
            <w:shd w:val="clear" w:color="auto" w:fill="BFBFBF" w:themeFill="background1" w:themeFillShade="BF"/>
          </w:tcPr>
          <w:p w:rsidR="00BC061C" w:rsidRDefault="00BC061C" w:rsidP="007C0FEB">
            <w:pPr>
              <w:jc w:val="center"/>
            </w:pPr>
            <w:r>
              <w:t>2.</w:t>
            </w:r>
          </w:p>
        </w:tc>
        <w:tc>
          <w:tcPr>
            <w:tcW w:w="3218" w:type="dxa"/>
          </w:tcPr>
          <w:p w:rsidR="00BC061C" w:rsidRDefault="00BC061C" w:rsidP="007C0FEB">
            <w:pPr>
              <w:jc w:val="center"/>
            </w:pPr>
          </w:p>
          <w:p w:rsidR="00BC061C" w:rsidRDefault="00BC061C" w:rsidP="007C0FEB">
            <w:pPr>
              <w:jc w:val="center"/>
            </w:pPr>
          </w:p>
        </w:tc>
        <w:tc>
          <w:tcPr>
            <w:tcW w:w="1559" w:type="dxa"/>
          </w:tcPr>
          <w:p w:rsidR="00BC061C" w:rsidRDefault="00BC061C" w:rsidP="007C0FEB">
            <w:pPr>
              <w:jc w:val="center"/>
            </w:pPr>
          </w:p>
        </w:tc>
        <w:tc>
          <w:tcPr>
            <w:tcW w:w="1134" w:type="dxa"/>
          </w:tcPr>
          <w:p w:rsidR="00BC061C" w:rsidRDefault="00BC061C" w:rsidP="007C0FEB">
            <w:pPr>
              <w:jc w:val="center"/>
            </w:pPr>
          </w:p>
        </w:tc>
        <w:tc>
          <w:tcPr>
            <w:tcW w:w="1276" w:type="dxa"/>
          </w:tcPr>
          <w:p w:rsidR="00BC061C" w:rsidRDefault="00BC061C" w:rsidP="007C0FEB">
            <w:pPr>
              <w:jc w:val="center"/>
            </w:pPr>
          </w:p>
        </w:tc>
      </w:tr>
      <w:tr w:rsidR="00BC061C" w:rsidTr="00BC061C">
        <w:tc>
          <w:tcPr>
            <w:tcW w:w="605" w:type="dxa"/>
            <w:shd w:val="clear" w:color="auto" w:fill="BFBFBF" w:themeFill="background1" w:themeFillShade="BF"/>
          </w:tcPr>
          <w:p w:rsidR="00BC061C" w:rsidRDefault="00BC061C" w:rsidP="007C0FEB">
            <w:pPr>
              <w:jc w:val="center"/>
            </w:pPr>
            <w:r>
              <w:t>3.</w:t>
            </w:r>
          </w:p>
        </w:tc>
        <w:tc>
          <w:tcPr>
            <w:tcW w:w="3218" w:type="dxa"/>
          </w:tcPr>
          <w:p w:rsidR="00BC061C" w:rsidRDefault="00BC061C" w:rsidP="007C0FEB">
            <w:pPr>
              <w:jc w:val="center"/>
            </w:pPr>
          </w:p>
          <w:p w:rsidR="00BC061C" w:rsidRDefault="00BC061C" w:rsidP="007C0FEB">
            <w:pPr>
              <w:jc w:val="center"/>
            </w:pPr>
          </w:p>
        </w:tc>
        <w:tc>
          <w:tcPr>
            <w:tcW w:w="1559" w:type="dxa"/>
          </w:tcPr>
          <w:p w:rsidR="00BC061C" w:rsidRDefault="00BC061C" w:rsidP="007C0FEB">
            <w:pPr>
              <w:jc w:val="center"/>
            </w:pPr>
          </w:p>
        </w:tc>
        <w:tc>
          <w:tcPr>
            <w:tcW w:w="1134" w:type="dxa"/>
          </w:tcPr>
          <w:p w:rsidR="00BC061C" w:rsidRDefault="00BC061C" w:rsidP="007C0FEB">
            <w:pPr>
              <w:jc w:val="center"/>
            </w:pPr>
          </w:p>
        </w:tc>
        <w:tc>
          <w:tcPr>
            <w:tcW w:w="1276" w:type="dxa"/>
          </w:tcPr>
          <w:p w:rsidR="00BC061C" w:rsidRDefault="00BC061C" w:rsidP="007C0FEB">
            <w:pPr>
              <w:jc w:val="center"/>
            </w:pPr>
          </w:p>
        </w:tc>
      </w:tr>
      <w:tr w:rsidR="00BC061C" w:rsidTr="00BC061C">
        <w:tc>
          <w:tcPr>
            <w:tcW w:w="605" w:type="dxa"/>
            <w:shd w:val="clear" w:color="auto" w:fill="BFBFBF" w:themeFill="background1" w:themeFillShade="BF"/>
          </w:tcPr>
          <w:p w:rsidR="00BC061C" w:rsidRDefault="00BC061C" w:rsidP="007C0FEB">
            <w:pPr>
              <w:jc w:val="center"/>
            </w:pPr>
            <w:r>
              <w:t>4.</w:t>
            </w:r>
          </w:p>
        </w:tc>
        <w:tc>
          <w:tcPr>
            <w:tcW w:w="3218" w:type="dxa"/>
          </w:tcPr>
          <w:p w:rsidR="00BC061C" w:rsidRDefault="00BC061C" w:rsidP="007C0FEB">
            <w:pPr>
              <w:jc w:val="center"/>
            </w:pPr>
          </w:p>
          <w:p w:rsidR="00BC061C" w:rsidRDefault="00BC061C" w:rsidP="007C0FEB">
            <w:pPr>
              <w:jc w:val="center"/>
            </w:pPr>
          </w:p>
        </w:tc>
        <w:tc>
          <w:tcPr>
            <w:tcW w:w="1559" w:type="dxa"/>
          </w:tcPr>
          <w:p w:rsidR="00BC061C" w:rsidRDefault="00BC061C" w:rsidP="007C0FEB">
            <w:pPr>
              <w:jc w:val="center"/>
            </w:pPr>
          </w:p>
        </w:tc>
        <w:tc>
          <w:tcPr>
            <w:tcW w:w="1134" w:type="dxa"/>
          </w:tcPr>
          <w:p w:rsidR="00BC061C" w:rsidRDefault="00BC061C" w:rsidP="007C0FEB">
            <w:pPr>
              <w:jc w:val="center"/>
            </w:pPr>
          </w:p>
        </w:tc>
        <w:tc>
          <w:tcPr>
            <w:tcW w:w="1276" w:type="dxa"/>
          </w:tcPr>
          <w:p w:rsidR="00BC061C" w:rsidRDefault="00BC061C" w:rsidP="007C0FEB">
            <w:pPr>
              <w:jc w:val="center"/>
            </w:pPr>
          </w:p>
        </w:tc>
      </w:tr>
      <w:tr w:rsidR="00BC061C" w:rsidTr="00BC061C">
        <w:tc>
          <w:tcPr>
            <w:tcW w:w="605" w:type="dxa"/>
            <w:shd w:val="clear" w:color="auto" w:fill="BFBFBF" w:themeFill="background1" w:themeFillShade="BF"/>
          </w:tcPr>
          <w:p w:rsidR="00BC061C" w:rsidRDefault="00BC061C" w:rsidP="007C0FEB">
            <w:pPr>
              <w:jc w:val="center"/>
            </w:pPr>
            <w:r>
              <w:t>5.</w:t>
            </w:r>
          </w:p>
        </w:tc>
        <w:tc>
          <w:tcPr>
            <w:tcW w:w="3218" w:type="dxa"/>
          </w:tcPr>
          <w:p w:rsidR="00BC061C" w:rsidRDefault="00BC061C" w:rsidP="007C0FEB">
            <w:pPr>
              <w:jc w:val="center"/>
            </w:pPr>
          </w:p>
          <w:p w:rsidR="00BC061C" w:rsidRDefault="00BC061C" w:rsidP="007C0FEB">
            <w:pPr>
              <w:jc w:val="center"/>
            </w:pPr>
          </w:p>
        </w:tc>
        <w:tc>
          <w:tcPr>
            <w:tcW w:w="1559" w:type="dxa"/>
          </w:tcPr>
          <w:p w:rsidR="00BC061C" w:rsidRDefault="00BC061C" w:rsidP="007C0FEB">
            <w:pPr>
              <w:jc w:val="center"/>
            </w:pPr>
          </w:p>
        </w:tc>
        <w:tc>
          <w:tcPr>
            <w:tcW w:w="1134" w:type="dxa"/>
          </w:tcPr>
          <w:p w:rsidR="00BC061C" w:rsidRDefault="00BC061C" w:rsidP="007C0FEB">
            <w:pPr>
              <w:jc w:val="center"/>
            </w:pPr>
          </w:p>
        </w:tc>
        <w:tc>
          <w:tcPr>
            <w:tcW w:w="1276" w:type="dxa"/>
          </w:tcPr>
          <w:p w:rsidR="00BC061C" w:rsidRDefault="00BC061C" w:rsidP="007C0FEB">
            <w:pPr>
              <w:jc w:val="center"/>
            </w:pPr>
          </w:p>
        </w:tc>
      </w:tr>
      <w:tr w:rsidR="00BC061C" w:rsidTr="00BC061C">
        <w:tc>
          <w:tcPr>
            <w:tcW w:w="605" w:type="dxa"/>
            <w:shd w:val="clear" w:color="auto" w:fill="BFBFBF" w:themeFill="background1" w:themeFillShade="BF"/>
          </w:tcPr>
          <w:p w:rsidR="00BC061C" w:rsidRDefault="00BC061C" w:rsidP="007C0FEB">
            <w:pPr>
              <w:jc w:val="center"/>
            </w:pPr>
            <w:r>
              <w:t>6.</w:t>
            </w:r>
          </w:p>
        </w:tc>
        <w:tc>
          <w:tcPr>
            <w:tcW w:w="3218" w:type="dxa"/>
          </w:tcPr>
          <w:p w:rsidR="00BC061C" w:rsidRDefault="00BC061C" w:rsidP="007C0FEB">
            <w:pPr>
              <w:jc w:val="center"/>
            </w:pPr>
          </w:p>
          <w:p w:rsidR="00BC061C" w:rsidRDefault="00BC061C" w:rsidP="007C0FEB">
            <w:pPr>
              <w:jc w:val="center"/>
            </w:pPr>
          </w:p>
        </w:tc>
        <w:tc>
          <w:tcPr>
            <w:tcW w:w="1559" w:type="dxa"/>
          </w:tcPr>
          <w:p w:rsidR="00BC061C" w:rsidRDefault="00BC061C" w:rsidP="007C0FEB">
            <w:pPr>
              <w:jc w:val="center"/>
            </w:pPr>
          </w:p>
        </w:tc>
        <w:tc>
          <w:tcPr>
            <w:tcW w:w="1134" w:type="dxa"/>
          </w:tcPr>
          <w:p w:rsidR="00BC061C" w:rsidRDefault="00BC061C" w:rsidP="007C0FEB">
            <w:pPr>
              <w:jc w:val="center"/>
            </w:pPr>
          </w:p>
        </w:tc>
        <w:tc>
          <w:tcPr>
            <w:tcW w:w="1276" w:type="dxa"/>
          </w:tcPr>
          <w:p w:rsidR="00BC061C" w:rsidRDefault="00BC061C" w:rsidP="007C0FEB">
            <w:pPr>
              <w:jc w:val="center"/>
            </w:pPr>
          </w:p>
        </w:tc>
      </w:tr>
      <w:tr w:rsidR="00BC061C" w:rsidTr="00BC061C">
        <w:tc>
          <w:tcPr>
            <w:tcW w:w="605" w:type="dxa"/>
            <w:shd w:val="clear" w:color="auto" w:fill="BFBFBF" w:themeFill="background1" w:themeFillShade="BF"/>
          </w:tcPr>
          <w:p w:rsidR="00BC061C" w:rsidRDefault="00BC061C" w:rsidP="007C0FEB">
            <w:pPr>
              <w:jc w:val="center"/>
            </w:pPr>
            <w:r>
              <w:t>7.</w:t>
            </w:r>
          </w:p>
        </w:tc>
        <w:tc>
          <w:tcPr>
            <w:tcW w:w="3218" w:type="dxa"/>
          </w:tcPr>
          <w:p w:rsidR="00BC061C" w:rsidRDefault="00BC061C" w:rsidP="007C0FEB">
            <w:pPr>
              <w:jc w:val="center"/>
            </w:pPr>
          </w:p>
          <w:p w:rsidR="00BC061C" w:rsidRDefault="00BC061C" w:rsidP="007C0FEB">
            <w:pPr>
              <w:jc w:val="center"/>
            </w:pPr>
          </w:p>
        </w:tc>
        <w:tc>
          <w:tcPr>
            <w:tcW w:w="1559" w:type="dxa"/>
          </w:tcPr>
          <w:p w:rsidR="00BC061C" w:rsidRDefault="00BC061C" w:rsidP="007C0FEB">
            <w:pPr>
              <w:jc w:val="center"/>
            </w:pPr>
          </w:p>
        </w:tc>
        <w:tc>
          <w:tcPr>
            <w:tcW w:w="1134" w:type="dxa"/>
          </w:tcPr>
          <w:p w:rsidR="00BC061C" w:rsidRDefault="00BC061C" w:rsidP="007C0FEB">
            <w:pPr>
              <w:jc w:val="center"/>
            </w:pPr>
          </w:p>
        </w:tc>
        <w:tc>
          <w:tcPr>
            <w:tcW w:w="1276" w:type="dxa"/>
          </w:tcPr>
          <w:p w:rsidR="00BC061C" w:rsidRDefault="00BC061C" w:rsidP="007C0FEB">
            <w:pPr>
              <w:jc w:val="center"/>
            </w:pPr>
          </w:p>
        </w:tc>
      </w:tr>
      <w:tr w:rsidR="00BC061C" w:rsidTr="00BC061C">
        <w:tc>
          <w:tcPr>
            <w:tcW w:w="605" w:type="dxa"/>
            <w:shd w:val="clear" w:color="auto" w:fill="BFBFBF" w:themeFill="background1" w:themeFillShade="BF"/>
          </w:tcPr>
          <w:p w:rsidR="00BC061C" w:rsidRDefault="00BC061C" w:rsidP="007C0FEB">
            <w:pPr>
              <w:jc w:val="center"/>
            </w:pPr>
            <w:r>
              <w:t>8.</w:t>
            </w:r>
          </w:p>
        </w:tc>
        <w:tc>
          <w:tcPr>
            <w:tcW w:w="3218" w:type="dxa"/>
          </w:tcPr>
          <w:p w:rsidR="00BC061C" w:rsidRDefault="00BC061C" w:rsidP="007C0FEB">
            <w:pPr>
              <w:jc w:val="center"/>
            </w:pPr>
          </w:p>
          <w:p w:rsidR="00BC061C" w:rsidRDefault="00BC061C" w:rsidP="007C0FEB">
            <w:pPr>
              <w:jc w:val="center"/>
            </w:pPr>
          </w:p>
        </w:tc>
        <w:tc>
          <w:tcPr>
            <w:tcW w:w="1559" w:type="dxa"/>
          </w:tcPr>
          <w:p w:rsidR="00BC061C" w:rsidRDefault="00BC061C" w:rsidP="007C0FEB">
            <w:pPr>
              <w:jc w:val="center"/>
            </w:pPr>
          </w:p>
        </w:tc>
        <w:tc>
          <w:tcPr>
            <w:tcW w:w="1134" w:type="dxa"/>
          </w:tcPr>
          <w:p w:rsidR="00BC061C" w:rsidRDefault="00BC061C" w:rsidP="007C0FEB">
            <w:pPr>
              <w:jc w:val="center"/>
            </w:pPr>
          </w:p>
        </w:tc>
        <w:tc>
          <w:tcPr>
            <w:tcW w:w="1276" w:type="dxa"/>
          </w:tcPr>
          <w:p w:rsidR="00BC061C" w:rsidRDefault="00BC061C" w:rsidP="007C0FEB">
            <w:pPr>
              <w:jc w:val="center"/>
            </w:pPr>
          </w:p>
        </w:tc>
      </w:tr>
      <w:tr w:rsidR="00BC061C" w:rsidTr="00BC061C">
        <w:tc>
          <w:tcPr>
            <w:tcW w:w="605" w:type="dxa"/>
            <w:shd w:val="clear" w:color="auto" w:fill="BFBFBF" w:themeFill="background1" w:themeFillShade="BF"/>
          </w:tcPr>
          <w:p w:rsidR="00BC061C" w:rsidRDefault="00BC061C" w:rsidP="007C0FEB">
            <w:pPr>
              <w:jc w:val="center"/>
            </w:pPr>
            <w:r>
              <w:t>9.</w:t>
            </w:r>
          </w:p>
        </w:tc>
        <w:tc>
          <w:tcPr>
            <w:tcW w:w="3218" w:type="dxa"/>
          </w:tcPr>
          <w:p w:rsidR="00BC061C" w:rsidRDefault="00BC061C" w:rsidP="007C0FEB">
            <w:pPr>
              <w:jc w:val="center"/>
            </w:pPr>
          </w:p>
          <w:p w:rsidR="00BC061C" w:rsidRDefault="00BC061C" w:rsidP="007C0FEB">
            <w:pPr>
              <w:jc w:val="center"/>
            </w:pPr>
          </w:p>
        </w:tc>
        <w:tc>
          <w:tcPr>
            <w:tcW w:w="1559" w:type="dxa"/>
          </w:tcPr>
          <w:p w:rsidR="00BC061C" w:rsidRDefault="00BC061C" w:rsidP="007C0FEB">
            <w:pPr>
              <w:jc w:val="center"/>
            </w:pPr>
          </w:p>
        </w:tc>
        <w:tc>
          <w:tcPr>
            <w:tcW w:w="1134" w:type="dxa"/>
          </w:tcPr>
          <w:p w:rsidR="00BC061C" w:rsidRDefault="00BC061C" w:rsidP="007C0FEB">
            <w:pPr>
              <w:jc w:val="center"/>
            </w:pPr>
          </w:p>
        </w:tc>
        <w:tc>
          <w:tcPr>
            <w:tcW w:w="1276" w:type="dxa"/>
          </w:tcPr>
          <w:p w:rsidR="00BC061C" w:rsidRDefault="00BC061C" w:rsidP="007C0FEB">
            <w:pPr>
              <w:jc w:val="center"/>
            </w:pPr>
          </w:p>
        </w:tc>
      </w:tr>
      <w:tr w:rsidR="00BC061C" w:rsidTr="00BC061C">
        <w:tc>
          <w:tcPr>
            <w:tcW w:w="605" w:type="dxa"/>
            <w:shd w:val="clear" w:color="auto" w:fill="BFBFBF" w:themeFill="background1" w:themeFillShade="BF"/>
          </w:tcPr>
          <w:p w:rsidR="00BC061C" w:rsidRDefault="00BC061C" w:rsidP="007C0FEB">
            <w:pPr>
              <w:jc w:val="center"/>
            </w:pPr>
            <w:r>
              <w:t>10.</w:t>
            </w:r>
          </w:p>
        </w:tc>
        <w:tc>
          <w:tcPr>
            <w:tcW w:w="3218" w:type="dxa"/>
          </w:tcPr>
          <w:p w:rsidR="00BC061C" w:rsidRDefault="00BC061C" w:rsidP="007C0FEB">
            <w:pPr>
              <w:jc w:val="center"/>
            </w:pPr>
          </w:p>
          <w:p w:rsidR="00BC061C" w:rsidRDefault="00BC061C" w:rsidP="007C0FEB">
            <w:pPr>
              <w:jc w:val="center"/>
            </w:pPr>
          </w:p>
        </w:tc>
        <w:tc>
          <w:tcPr>
            <w:tcW w:w="1559" w:type="dxa"/>
          </w:tcPr>
          <w:p w:rsidR="00BC061C" w:rsidRDefault="00BC061C" w:rsidP="007C0FEB">
            <w:pPr>
              <w:jc w:val="center"/>
            </w:pPr>
          </w:p>
        </w:tc>
        <w:tc>
          <w:tcPr>
            <w:tcW w:w="1134" w:type="dxa"/>
          </w:tcPr>
          <w:p w:rsidR="00BC061C" w:rsidRDefault="00BC061C" w:rsidP="007C0FEB">
            <w:pPr>
              <w:jc w:val="center"/>
            </w:pPr>
          </w:p>
        </w:tc>
        <w:tc>
          <w:tcPr>
            <w:tcW w:w="1276" w:type="dxa"/>
          </w:tcPr>
          <w:p w:rsidR="00BC061C" w:rsidRDefault="00BC061C" w:rsidP="007C0FEB">
            <w:pPr>
              <w:jc w:val="center"/>
            </w:pPr>
          </w:p>
        </w:tc>
      </w:tr>
    </w:tbl>
    <w:p w:rsidR="00AB0DBF" w:rsidRPr="0067648C" w:rsidRDefault="00AB0DBF" w:rsidP="00AB0DBF"/>
    <w:sectPr w:rsidR="00AB0DBF" w:rsidRPr="0067648C">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1102" w:rsidRDefault="00DF1102" w:rsidP="00047BCF">
      <w:pPr>
        <w:spacing w:after="0" w:line="240" w:lineRule="auto"/>
      </w:pPr>
      <w:r>
        <w:separator/>
      </w:r>
    </w:p>
  </w:endnote>
  <w:endnote w:type="continuationSeparator" w:id="0">
    <w:p w:rsidR="00DF1102" w:rsidRDefault="00DF1102" w:rsidP="00047B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1166488"/>
      <w:docPartObj>
        <w:docPartGallery w:val="Page Numbers (Bottom of Page)"/>
        <w:docPartUnique/>
      </w:docPartObj>
    </w:sdtPr>
    <w:sdtEndPr>
      <w:rPr>
        <w:noProof/>
      </w:rPr>
    </w:sdtEndPr>
    <w:sdtContent>
      <w:p w:rsidR="00047BCF" w:rsidRDefault="00047BCF">
        <w:pPr>
          <w:pStyle w:val="Footer"/>
        </w:pPr>
        <w:r>
          <w:fldChar w:fldCharType="begin"/>
        </w:r>
        <w:r>
          <w:instrText xml:space="preserve"> PAGE   \* MERGEFORMAT </w:instrText>
        </w:r>
        <w:r>
          <w:fldChar w:fldCharType="separate"/>
        </w:r>
        <w:r w:rsidR="00AB7DE0">
          <w:rPr>
            <w:noProof/>
          </w:rPr>
          <w:t>7</w:t>
        </w:r>
        <w:r>
          <w:rPr>
            <w:noProof/>
          </w:rPr>
          <w:fldChar w:fldCharType="end"/>
        </w:r>
      </w:p>
    </w:sdtContent>
  </w:sdt>
  <w:p w:rsidR="00047BCF" w:rsidRDefault="00047B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1102" w:rsidRDefault="00DF1102" w:rsidP="00047BCF">
      <w:pPr>
        <w:spacing w:after="0" w:line="240" w:lineRule="auto"/>
      </w:pPr>
      <w:r>
        <w:separator/>
      </w:r>
    </w:p>
  </w:footnote>
  <w:footnote w:type="continuationSeparator" w:id="0">
    <w:p w:rsidR="00DF1102" w:rsidRDefault="00DF1102" w:rsidP="00047B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12E13"/>
    <w:multiLevelType w:val="hybridMultilevel"/>
    <w:tmpl w:val="9EE2F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C60C59"/>
    <w:multiLevelType w:val="hybridMultilevel"/>
    <w:tmpl w:val="C5AE39B4"/>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2" w15:restartNumberingAfterBreak="0">
    <w:nsid w:val="088220EA"/>
    <w:multiLevelType w:val="hybridMultilevel"/>
    <w:tmpl w:val="BA340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DD7746"/>
    <w:multiLevelType w:val="hybridMultilevel"/>
    <w:tmpl w:val="5DEEEE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2E03B3"/>
    <w:multiLevelType w:val="hybridMultilevel"/>
    <w:tmpl w:val="4E78D68A"/>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5" w15:restartNumberingAfterBreak="0">
    <w:nsid w:val="1390377F"/>
    <w:multiLevelType w:val="hybridMultilevel"/>
    <w:tmpl w:val="D526C2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BC4C80"/>
    <w:multiLevelType w:val="hybridMultilevel"/>
    <w:tmpl w:val="24F07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A4082E"/>
    <w:multiLevelType w:val="hybridMultilevel"/>
    <w:tmpl w:val="058E6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492B61"/>
    <w:multiLevelType w:val="hybridMultilevel"/>
    <w:tmpl w:val="DD466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264135"/>
    <w:multiLevelType w:val="hybridMultilevel"/>
    <w:tmpl w:val="8AAC5AFA"/>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0" w15:restartNumberingAfterBreak="0">
    <w:nsid w:val="2E250356"/>
    <w:multiLevelType w:val="hybridMultilevel"/>
    <w:tmpl w:val="329E34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F742E49"/>
    <w:multiLevelType w:val="hybridMultilevel"/>
    <w:tmpl w:val="ADF89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A724EB"/>
    <w:multiLevelType w:val="hybridMultilevel"/>
    <w:tmpl w:val="2F4E3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FC2A71"/>
    <w:multiLevelType w:val="hybridMultilevel"/>
    <w:tmpl w:val="44C00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3D2F70"/>
    <w:multiLevelType w:val="hybridMultilevel"/>
    <w:tmpl w:val="47F01F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53C57954"/>
    <w:multiLevelType w:val="multilevel"/>
    <w:tmpl w:val="E12622D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 w15:restartNumberingAfterBreak="0">
    <w:nsid w:val="53D71A18"/>
    <w:multiLevelType w:val="hybridMultilevel"/>
    <w:tmpl w:val="9B8CEF36"/>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7" w15:restartNumberingAfterBreak="0">
    <w:nsid w:val="5DAF5459"/>
    <w:multiLevelType w:val="hybridMultilevel"/>
    <w:tmpl w:val="518267D6"/>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8" w15:restartNumberingAfterBreak="0">
    <w:nsid w:val="6E2430F0"/>
    <w:multiLevelType w:val="hybridMultilevel"/>
    <w:tmpl w:val="673494DC"/>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9" w15:restartNumberingAfterBreak="0">
    <w:nsid w:val="7E13798E"/>
    <w:multiLevelType w:val="hybridMultilevel"/>
    <w:tmpl w:val="3E00F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5"/>
  </w:num>
  <w:num w:numId="4">
    <w:abstractNumId w:val="6"/>
  </w:num>
  <w:num w:numId="5">
    <w:abstractNumId w:val="10"/>
  </w:num>
  <w:num w:numId="6">
    <w:abstractNumId w:val="3"/>
  </w:num>
  <w:num w:numId="7">
    <w:abstractNumId w:val="13"/>
  </w:num>
  <w:num w:numId="8">
    <w:abstractNumId w:val="15"/>
  </w:num>
  <w:num w:numId="9">
    <w:abstractNumId w:val="14"/>
  </w:num>
  <w:num w:numId="10">
    <w:abstractNumId w:val="8"/>
  </w:num>
  <w:num w:numId="11">
    <w:abstractNumId w:val="19"/>
  </w:num>
  <w:num w:numId="12">
    <w:abstractNumId w:val="1"/>
  </w:num>
  <w:num w:numId="13">
    <w:abstractNumId w:val="9"/>
  </w:num>
  <w:num w:numId="14">
    <w:abstractNumId w:val="18"/>
  </w:num>
  <w:num w:numId="15">
    <w:abstractNumId w:val="17"/>
  </w:num>
  <w:num w:numId="16">
    <w:abstractNumId w:val="16"/>
  </w:num>
  <w:num w:numId="17">
    <w:abstractNumId w:val="4"/>
  </w:num>
  <w:num w:numId="18">
    <w:abstractNumId w:val="12"/>
  </w:num>
  <w:num w:numId="19">
    <w:abstractNumId w:val="2"/>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6FC"/>
    <w:rsid w:val="000147E4"/>
    <w:rsid w:val="00047BCF"/>
    <w:rsid w:val="001332FE"/>
    <w:rsid w:val="00176353"/>
    <w:rsid w:val="00196C13"/>
    <w:rsid w:val="00237C96"/>
    <w:rsid w:val="00270005"/>
    <w:rsid w:val="00285FA2"/>
    <w:rsid w:val="002C4969"/>
    <w:rsid w:val="00356654"/>
    <w:rsid w:val="00391AF7"/>
    <w:rsid w:val="003A4299"/>
    <w:rsid w:val="003F3FC6"/>
    <w:rsid w:val="004010FF"/>
    <w:rsid w:val="0045091A"/>
    <w:rsid w:val="004526FC"/>
    <w:rsid w:val="00460B27"/>
    <w:rsid w:val="00484D62"/>
    <w:rsid w:val="004B6B81"/>
    <w:rsid w:val="00502A49"/>
    <w:rsid w:val="005300F9"/>
    <w:rsid w:val="00587AB4"/>
    <w:rsid w:val="005A1D06"/>
    <w:rsid w:val="005E2881"/>
    <w:rsid w:val="00613C0B"/>
    <w:rsid w:val="00644D89"/>
    <w:rsid w:val="0067648C"/>
    <w:rsid w:val="006964AC"/>
    <w:rsid w:val="006E3D8A"/>
    <w:rsid w:val="007254B0"/>
    <w:rsid w:val="00752C34"/>
    <w:rsid w:val="007542F3"/>
    <w:rsid w:val="00761790"/>
    <w:rsid w:val="007C0FEB"/>
    <w:rsid w:val="007C1CD6"/>
    <w:rsid w:val="00812FCD"/>
    <w:rsid w:val="0082401D"/>
    <w:rsid w:val="008F17F5"/>
    <w:rsid w:val="0095481C"/>
    <w:rsid w:val="0099263A"/>
    <w:rsid w:val="009C20F6"/>
    <w:rsid w:val="009C5AF6"/>
    <w:rsid w:val="00A172FF"/>
    <w:rsid w:val="00A63DB7"/>
    <w:rsid w:val="00AB0DBF"/>
    <w:rsid w:val="00AB7DE0"/>
    <w:rsid w:val="00AD2701"/>
    <w:rsid w:val="00AD54C1"/>
    <w:rsid w:val="00B26525"/>
    <w:rsid w:val="00B709CD"/>
    <w:rsid w:val="00B75261"/>
    <w:rsid w:val="00B959D3"/>
    <w:rsid w:val="00BA19D6"/>
    <w:rsid w:val="00BC061C"/>
    <w:rsid w:val="00C12502"/>
    <w:rsid w:val="00C467FB"/>
    <w:rsid w:val="00C66BCB"/>
    <w:rsid w:val="00C75B72"/>
    <w:rsid w:val="00CA11CA"/>
    <w:rsid w:val="00CA7022"/>
    <w:rsid w:val="00D44D83"/>
    <w:rsid w:val="00D668BE"/>
    <w:rsid w:val="00DB7958"/>
    <w:rsid w:val="00DB7F5F"/>
    <w:rsid w:val="00DC6900"/>
    <w:rsid w:val="00DF1102"/>
    <w:rsid w:val="00DF6EA4"/>
    <w:rsid w:val="00E04949"/>
    <w:rsid w:val="00E10D18"/>
    <w:rsid w:val="00E219DA"/>
    <w:rsid w:val="00E363F4"/>
    <w:rsid w:val="00E405F2"/>
    <w:rsid w:val="00E60827"/>
    <w:rsid w:val="00E72845"/>
    <w:rsid w:val="00E7294C"/>
    <w:rsid w:val="00E876B3"/>
    <w:rsid w:val="00E96ACD"/>
    <w:rsid w:val="00EA5CE3"/>
    <w:rsid w:val="00ED190B"/>
    <w:rsid w:val="00EE58C2"/>
    <w:rsid w:val="00F10435"/>
    <w:rsid w:val="00F80BC2"/>
    <w:rsid w:val="00FD16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5DFBC"/>
  <w15:chartTrackingRefBased/>
  <w15:docId w15:val="{8AC13DAA-19EC-4CE4-A3AC-F6975C17A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US" w:bidi="ar-SA"/>
      </w:rPr>
    </w:rPrDefault>
    <w:pPrDefault>
      <w:pPr>
        <w:spacing w:after="160" w:line="252"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1AF7"/>
  </w:style>
  <w:style w:type="paragraph" w:styleId="Heading1">
    <w:name w:val="heading 1"/>
    <w:basedOn w:val="Normal"/>
    <w:next w:val="Normal"/>
    <w:link w:val="Heading1Char"/>
    <w:uiPriority w:val="9"/>
    <w:qFormat/>
    <w:rsid w:val="00391AF7"/>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391AF7"/>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391AF7"/>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391AF7"/>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391AF7"/>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391AF7"/>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391AF7"/>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391AF7"/>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391AF7"/>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294C"/>
    <w:pPr>
      <w:ind w:left="720"/>
      <w:contextualSpacing/>
    </w:pPr>
  </w:style>
  <w:style w:type="character" w:styleId="Hyperlink">
    <w:name w:val="Hyperlink"/>
    <w:basedOn w:val="DefaultParagraphFont"/>
    <w:uiPriority w:val="99"/>
    <w:unhideWhenUsed/>
    <w:rsid w:val="00C66BCB"/>
    <w:rPr>
      <w:color w:val="0000FF" w:themeColor="hyperlink"/>
      <w:u w:val="single"/>
    </w:rPr>
  </w:style>
  <w:style w:type="table" w:styleId="TableGrid">
    <w:name w:val="Table Grid"/>
    <w:basedOn w:val="TableNormal"/>
    <w:uiPriority w:val="59"/>
    <w:rsid w:val="00AB0D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47B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7BCF"/>
  </w:style>
  <w:style w:type="paragraph" w:styleId="Footer">
    <w:name w:val="footer"/>
    <w:basedOn w:val="Normal"/>
    <w:link w:val="FooterChar"/>
    <w:uiPriority w:val="99"/>
    <w:unhideWhenUsed/>
    <w:rsid w:val="00047B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7BCF"/>
  </w:style>
  <w:style w:type="paragraph" w:styleId="BalloonText">
    <w:name w:val="Balloon Text"/>
    <w:basedOn w:val="Normal"/>
    <w:link w:val="BalloonTextChar"/>
    <w:uiPriority w:val="99"/>
    <w:semiHidden/>
    <w:unhideWhenUsed/>
    <w:rsid w:val="003A42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4299"/>
    <w:rPr>
      <w:rFonts w:ascii="Segoe UI" w:hAnsi="Segoe UI" w:cs="Segoe UI"/>
      <w:sz w:val="18"/>
      <w:szCs w:val="18"/>
    </w:rPr>
  </w:style>
  <w:style w:type="paragraph" w:styleId="Revision">
    <w:name w:val="Revision"/>
    <w:hidden/>
    <w:uiPriority w:val="99"/>
    <w:semiHidden/>
    <w:rsid w:val="00752C34"/>
    <w:pPr>
      <w:spacing w:after="0" w:line="240" w:lineRule="auto"/>
    </w:pPr>
  </w:style>
  <w:style w:type="character" w:customStyle="1" w:styleId="Heading1Char">
    <w:name w:val="Heading 1 Char"/>
    <w:basedOn w:val="DefaultParagraphFont"/>
    <w:link w:val="Heading1"/>
    <w:uiPriority w:val="9"/>
    <w:rsid w:val="00391AF7"/>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semiHidden/>
    <w:rsid w:val="00391AF7"/>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391AF7"/>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391AF7"/>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391AF7"/>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391AF7"/>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391AF7"/>
    <w:rPr>
      <w:i/>
      <w:iCs/>
    </w:rPr>
  </w:style>
  <w:style w:type="character" w:customStyle="1" w:styleId="Heading8Char">
    <w:name w:val="Heading 8 Char"/>
    <w:basedOn w:val="DefaultParagraphFont"/>
    <w:link w:val="Heading8"/>
    <w:uiPriority w:val="9"/>
    <w:semiHidden/>
    <w:rsid w:val="00391AF7"/>
    <w:rPr>
      <w:b/>
      <w:bCs/>
    </w:rPr>
  </w:style>
  <w:style w:type="character" w:customStyle="1" w:styleId="Heading9Char">
    <w:name w:val="Heading 9 Char"/>
    <w:basedOn w:val="DefaultParagraphFont"/>
    <w:link w:val="Heading9"/>
    <w:uiPriority w:val="9"/>
    <w:semiHidden/>
    <w:rsid w:val="00391AF7"/>
    <w:rPr>
      <w:i/>
      <w:iCs/>
    </w:rPr>
  </w:style>
  <w:style w:type="paragraph" w:styleId="Caption">
    <w:name w:val="caption"/>
    <w:basedOn w:val="Normal"/>
    <w:next w:val="Normal"/>
    <w:uiPriority w:val="35"/>
    <w:semiHidden/>
    <w:unhideWhenUsed/>
    <w:qFormat/>
    <w:rsid w:val="00391AF7"/>
    <w:rPr>
      <w:b/>
      <w:bCs/>
      <w:sz w:val="18"/>
      <w:szCs w:val="18"/>
    </w:rPr>
  </w:style>
  <w:style w:type="paragraph" w:styleId="Title">
    <w:name w:val="Title"/>
    <w:basedOn w:val="Normal"/>
    <w:next w:val="Normal"/>
    <w:link w:val="TitleChar"/>
    <w:uiPriority w:val="10"/>
    <w:qFormat/>
    <w:rsid w:val="00391AF7"/>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391AF7"/>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391AF7"/>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391AF7"/>
    <w:rPr>
      <w:rFonts w:asciiTheme="majorHAnsi" w:eastAsiaTheme="majorEastAsia" w:hAnsiTheme="majorHAnsi" w:cstheme="majorBidi"/>
      <w:sz w:val="24"/>
      <w:szCs w:val="24"/>
    </w:rPr>
  </w:style>
  <w:style w:type="character" w:styleId="Strong">
    <w:name w:val="Strong"/>
    <w:basedOn w:val="DefaultParagraphFont"/>
    <w:uiPriority w:val="22"/>
    <w:qFormat/>
    <w:rsid w:val="00391AF7"/>
    <w:rPr>
      <w:b/>
      <w:bCs/>
      <w:color w:val="auto"/>
    </w:rPr>
  </w:style>
  <w:style w:type="character" w:styleId="Emphasis">
    <w:name w:val="Emphasis"/>
    <w:basedOn w:val="DefaultParagraphFont"/>
    <w:uiPriority w:val="20"/>
    <w:qFormat/>
    <w:rsid w:val="00391AF7"/>
    <w:rPr>
      <w:i/>
      <w:iCs/>
      <w:color w:val="auto"/>
    </w:rPr>
  </w:style>
  <w:style w:type="paragraph" w:styleId="NoSpacing">
    <w:name w:val="No Spacing"/>
    <w:uiPriority w:val="1"/>
    <w:qFormat/>
    <w:rsid w:val="00391AF7"/>
    <w:pPr>
      <w:spacing w:after="0" w:line="240" w:lineRule="auto"/>
    </w:pPr>
  </w:style>
  <w:style w:type="paragraph" w:styleId="Quote">
    <w:name w:val="Quote"/>
    <w:basedOn w:val="Normal"/>
    <w:next w:val="Normal"/>
    <w:link w:val="QuoteChar"/>
    <w:uiPriority w:val="29"/>
    <w:qFormat/>
    <w:rsid w:val="00391AF7"/>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391AF7"/>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391AF7"/>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391AF7"/>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391AF7"/>
    <w:rPr>
      <w:i/>
      <w:iCs/>
      <w:color w:val="auto"/>
    </w:rPr>
  </w:style>
  <w:style w:type="character" w:styleId="IntenseEmphasis">
    <w:name w:val="Intense Emphasis"/>
    <w:basedOn w:val="DefaultParagraphFont"/>
    <w:uiPriority w:val="21"/>
    <w:qFormat/>
    <w:rsid w:val="00391AF7"/>
    <w:rPr>
      <w:b/>
      <w:bCs/>
      <w:i/>
      <w:iCs/>
      <w:color w:val="auto"/>
    </w:rPr>
  </w:style>
  <w:style w:type="character" w:styleId="SubtleReference">
    <w:name w:val="Subtle Reference"/>
    <w:basedOn w:val="DefaultParagraphFont"/>
    <w:uiPriority w:val="31"/>
    <w:qFormat/>
    <w:rsid w:val="00391AF7"/>
    <w:rPr>
      <w:smallCaps/>
      <w:color w:val="auto"/>
      <w:u w:val="single" w:color="7F7F7F" w:themeColor="text1" w:themeTint="80"/>
    </w:rPr>
  </w:style>
  <w:style w:type="character" w:styleId="IntenseReference">
    <w:name w:val="Intense Reference"/>
    <w:basedOn w:val="DefaultParagraphFont"/>
    <w:uiPriority w:val="32"/>
    <w:qFormat/>
    <w:rsid w:val="00391AF7"/>
    <w:rPr>
      <w:b/>
      <w:bCs/>
      <w:smallCaps/>
      <w:color w:val="auto"/>
      <w:u w:val="single"/>
    </w:rPr>
  </w:style>
  <w:style w:type="character" w:styleId="BookTitle">
    <w:name w:val="Book Title"/>
    <w:basedOn w:val="DefaultParagraphFont"/>
    <w:uiPriority w:val="33"/>
    <w:qFormat/>
    <w:rsid w:val="00391AF7"/>
    <w:rPr>
      <w:b/>
      <w:bCs/>
      <w:smallCaps/>
      <w:color w:val="auto"/>
    </w:rPr>
  </w:style>
  <w:style w:type="paragraph" w:styleId="TOCHeading">
    <w:name w:val="TOC Heading"/>
    <w:basedOn w:val="Heading1"/>
    <w:next w:val="Normal"/>
    <w:uiPriority w:val="39"/>
    <w:semiHidden/>
    <w:unhideWhenUsed/>
    <w:qFormat/>
    <w:rsid w:val="00391AF7"/>
    <w:pPr>
      <w:outlineLvl w:val="9"/>
    </w:pPr>
  </w:style>
  <w:style w:type="character" w:styleId="FollowedHyperlink">
    <w:name w:val="FollowedHyperlink"/>
    <w:basedOn w:val="DefaultParagraphFont"/>
    <w:uiPriority w:val="99"/>
    <w:semiHidden/>
    <w:unhideWhenUsed/>
    <w:rsid w:val="00587AB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5946076">
      <w:bodyDiv w:val="1"/>
      <w:marLeft w:val="0"/>
      <w:marRight w:val="0"/>
      <w:marTop w:val="0"/>
      <w:marBottom w:val="0"/>
      <w:divBdr>
        <w:top w:val="none" w:sz="0" w:space="0" w:color="auto"/>
        <w:left w:val="none" w:sz="0" w:space="0" w:color="auto"/>
        <w:bottom w:val="none" w:sz="0" w:space="0" w:color="auto"/>
        <w:right w:val="none" w:sz="0" w:space="0" w:color="auto"/>
      </w:divBdr>
    </w:div>
    <w:div w:id="1589267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ov.uk/buy-sell-your-home/energy-performance-certificates"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tenancy-deposit-protection/overview" TargetMode="External"/><Relationship Id="rId17" Type="http://schemas.openxmlformats.org/officeDocument/2006/relationships/hyperlink" Target="mailto:TUSUaccreditation@tees-su.org.uk" TargetMode="External"/><Relationship Id="rId2" Type="http://schemas.openxmlformats.org/officeDocument/2006/relationships/numbering" Target="numbering.xml"/><Relationship Id="rId16" Type="http://schemas.openxmlformats.org/officeDocument/2006/relationships/hyperlink" Target="http://www.legislation.gov.uk/uksi/1988/1324/contents/mad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assaferegister.co.uk/" TargetMode="External"/><Relationship Id="rId5" Type="http://schemas.openxmlformats.org/officeDocument/2006/relationships/webSettings" Target="webSettings.xml"/><Relationship Id="rId15" Type="http://schemas.openxmlformats.org/officeDocument/2006/relationships/hyperlink" Target="https://www.middlesbrough.gov.uk/planning-and-housing/housing-options-and-advice/houses-multiple-occupation-hmos" TargetMode="External"/><Relationship Id="rId10" Type="http://schemas.openxmlformats.org/officeDocument/2006/relationships/hyperlink" Target="https://assets.publishing.service.gov.uk/government/uploads/system/uploads/attachment_data/file/723773/How_to_Rent_Jul18.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ees-su.org.uk/advertise" TargetMode="External"/><Relationship Id="rId14" Type="http://schemas.openxmlformats.org/officeDocument/2006/relationships/hyperlink" Target="http://www.nicei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A48AAE-2D76-4CD1-8B83-8B2B4FBC5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7</Pages>
  <Words>1806</Words>
  <Characters>10295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ITaCS</Company>
  <LinksUpToDate>false</LinksUpToDate>
  <CharactersWithSpaces>12077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Corcoran, Jennifer</dc:creator>
  <cp:keywords/>
  <dc:description/>
  <cp:lastModifiedBy>Corcoran, Jennifer</cp:lastModifiedBy>
  <cp:revision>4</cp:revision>
  <cp:lastPrinted>2018-02-13T11:02:00Z</cp:lastPrinted>
  <dcterms:created xsi:type="dcterms:W3CDTF">2019-02-26T11:16:00Z</dcterms:created>
  <dcterms:modified xsi:type="dcterms:W3CDTF">2019-02-26T11:45:00Z</dcterms:modified>
</cp:coreProperties>
</file>